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BCC7BE" w14:textId="5BB118E5" w:rsidR="00844860" w:rsidRDefault="00844860" w:rsidP="00844860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A203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ФОРМУВАННЯ ТА ФУНКЦІОНУВАННЯ МІСЯЧНОГО ДАТА-ЦЕНТРУ ШТУЧНОГО ІНТЕЛЕКТУ В УМОВАХ ОБМЕЖЕНЬ МІЖПЛАНЕТАРНОГО ЗВ’ЯЗКУ.</w:t>
      </w:r>
    </w:p>
    <w:p w14:paraId="3414E880" w14:textId="5ADD9F10" w:rsidR="00D467D7" w:rsidRDefault="00D467D7" w:rsidP="00D467D7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Виконала: </w:t>
      </w:r>
      <w:r w:rsidRPr="00D467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Соломко Дарія Сергіївна 8 клас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, ліцей №22</w:t>
      </w:r>
    </w:p>
    <w:p w14:paraId="032BFEE9" w14:textId="2E3D0EC8" w:rsidR="00D467D7" w:rsidRPr="00D467D7" w:rsidRDefault="00D467D7" w:rsidP="00D467D7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Педагогічний керівник: Кононенко Олег Вікторович, вчитель інформатики ліцею №22 </w:t>
      </w:r>
    </w:p>
    <w:p w14:paraId="1447BB50" w14:textId="77777777" w:rsidR="00844860" w:rsidRPr="00D467D7" w:rsidRDefault="00844860" w:rsidP="00D467D7">
      <w:pPr>
        <w:spacing w:after="0" w:line="360" w:lineRule="auto"/>
        <w:ind w:firstLine="708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D467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 w:eastAsia="ru-RU"/>
        </w:rPr>
        <w:t>Об’єкт дослідження</w:t>
      </w:r>
      <w:r w:rsidRPr="00BA203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 w:eastAsia="ru-RU"/>
        </w:rPr>
        <w:t xml:space="preserve">: </w:t>
      </w:r>
      <w:r w:rsidRPr="00D467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Об’єктом дослідження є процеси розгортання та функціонування високопродуктивної обчислювальної інфраструктури штучного інтелекту в позаземному середовищі, зокрема на поверхні Місяця, як елементу формування міжпланетарної цифрової інфраструктури.</w:t>
      </w:r>
    </w:p>
    <w:p w14:paraId="1EE9A622" w14:textId="77777777" w:rsidR="00844860" w:rsidRPr="00844860" w:rsidRDefault="00844860" w:rsidP="00844860">
      <w:pPr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4486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Предмет дослідження</w:t>
      </w:r>
      <w:r w:rsidRPr="00BA203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 w:eastAsia="ru-RU"/>
        </w:rPr>
        <w:t xml:space="preserve">: </w:t>
      </w:r>
      <w:r w:rsidRPr="0084486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Предметом дослідження виступають технологічні, телекомунікаційні та системно-архітектурні особливості організації міжпланетарного обміну даними між місячним дата-центром та наземними інформаційними системами, включаючи параметри затримки, пропускної здатності та надійності каналів зв’язку.</w:t>
      </w:r>
    </w:p>
    <w:p w14:paraId="0497376E" w14:textId="77777777" w:rsidR="00844860" w:rsidRPr="00844860" w:rsidRDefault="00844860" w:rsidP="00844860">
      <w:pPr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4486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Мета дослідження</w:t>
      </w:r>
      <w:r w:rsidRPr="00BA203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 w:eastAsia="ru-RU"/>
        </w:rPr>
        <w:t xml:space="preserve">: </w:t>
      </w:r>
      <w:r w:rsidRPr="0084486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Метою дослідження є комплексний аналіз сучасних та перспективних технологій міжпланетарного зв’язку з метою обґрунтування ефективних моделей забезпечення стабільного, надійного та масштабованого обміну даними між місячним дата-центром штучного інтелекту та Землею.</w:t>
      </w:r>
    </w:p>
    <w:p w14:paraId="3836189B" w14:textId="77777777" w:rsidR="00BA2032" w:rsidRPr="00BA2032" w:rsidRDefault="00844860" w:rsidP="00844860">
      <w:pPr>
        <w:spacing w:after="0" w:line="360" w:lineRule="auto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4486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Наукова новизна дослідження</w:t>
      </w:r>
      <w:r w:rsidRPr="00BA203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 w:eastAsia="ru-RU"/>
        </w:rPr>
        <w:t xml:space="preserve">: </w:t>
      </w:r>
      <w:r w:rsidR="00BA2032" w:rsidRPr="00BA2032">
        <w:rPr>
          <w:rFonts w:ascii="Times New Roman" w:hAnsi="Times New Roman" w:cs="Times New Roman"/>
          <w:color w:val="000000" w:themeColor="text1"/>
          <w:sz w:val="28"/>
          <w:szCs w:val="28"/>
        </w:rPr>
        <w:t>Наукова новизна полягає в обґрунтуванні інтеграційного підходу до місячного дата-центру як елементу міжпланетарної інфраструктури з урахуванням обмежень зв’язку, застосування асинхронних архітектур, edge-обчислень і протоколів DTN</w:t>
      </w:r>
    </w:p>
    <w:p w14:paraId="0E5ABB24" w14:textId="77777777" w:rsidR="00BA2032" w:rsidRDefault="00844860" w:rsidP="00BA2032">
      <w:pPr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</w:pPr>
      <w:r w:rsidRPr="0084486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Методи дослідження</w:t>
      </w:r>
      <w:r w:rsidRPr="00BA2032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: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</w:t>
      </w:r>
      <w:r w:rsidRPr="0084486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процесі дослідження</w:t>
      </w:r>
      <w:r w:rsidRPr="0084486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використано сукупність загальнонаукових та спеціальних методів:</w:t>
      </w:r>
      <w:r w:rsidRPr="00BA203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</w:t>
      </w:r>
      <w:r w:rsidRPr="0084486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етод системного</w:t>
      </w:r>
      <w:r w:rsidRPr="00844860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 аналізу</w:t>
      </w:r>
      <w:r w:rsidR="00BA2032" w:rsidRPr="00BA203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val="uk-UA" w:eastAsia="ru-RU"/>
        </w:rPr>
        <w:t>,</w:t>
      </w:r>
      <w:r w:rsidRPr="00844860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 </w:t>
      </w:r>
      <w:r w:rsidRPr="00BA203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val="uk-UA" w:eastAsia="ru-RU"/>
        </w:rPr>
        <w:t>п</w:t>
      </w:r>
      <w:r w:rsidRPr="00844860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орівняльний метод</w:t>
      </w:r>
      <w:r w:rsidRPr="00BA203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val="uk-UA" w:eastAsia="ru-RU"/>
        </w:rPr>
        <w:t>, м</w:t>
      </w:r>
      <w:r w:rsidRPr="00844860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етод моделювання</w:t>
      </w:r>
      <w:r w:rsidR="00BA2032" w:rsidRPr="00BA203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val="uk-UA" w:eastAsia="ru-RU"/>
        </w:rPr>
        <w:t>,</w:t>
      </w:r>
      <w:r w:rsidRPr="00844860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 </w:t>
      </w:r>
      <w:r w:rsidRPr="00BA203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val="uk-UA" w:eastAsia="ru-RU"/>
        </w:rPr>
        <w:t>а</w:t>
      </w:r>
      <w:r w:rsidRPr="00844860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наліз наукових джерел</w:t>
      </w:r>
      <w:r w:rsidRPr="00BA203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val="uk-UA" w:eastAsia="ru-RU"/>
        </w:rPr>
        <w:t>, п</w:t>
      </w:r>
      <w:r w:rsidRPr="00844860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рогностичний метод.</w:t>
      </w:r>
    </w:p>
    <w:p w14:paraId="49CA1CD5" w14:textId="77777777" w:rsidR="00844860" w:rsidRPr="00BA2032" w:rsidRDefault="00844860" w:rsidP="00BA2032">
      <w:pPr>
        <w:spacing w:after="0" w:line="360" w:lineRule="auto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A2032">
        <w:rPr>
          <w:rStyle w:val="a3"/>
          <w:rFonts w:ascii="Times New Roman" w:hAnsi="Times New Roman" w:cs="Times New Roman"/>
          <w:color w:val="000000" w:themeColor="text1"/>
          <w:sz w:val="28"/>
          <w:szCs w:val="28"/>
        </w:rPr>
        <w:t>Практичне значення</w:t>
      </w:r>
      <w:r w:rsidRPr="00BA2032">
        <w:rPr>
          <w:rStyle w:val="a3"/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:</w:t>
      </w:r>
      <w:r w:rsidRPr="00BA2032">
        <w:rPr>
          <w:rStyle w:val="a3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lang w:val="uk-UA"/>
        </w:rPr>
        <w:t xml:space="preserve"> 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</w:rPr>
        <w:t>Результати дослідження можуть бути використані при проєктуванні міжпланетарних інформаційних систем, розробці архітектур автономних дата-центрів та вдосконаленні технологій космічного зв’язку.</w:t>
      </w:r>
    </w:p>
    <w:p w14:paraId="69C0FF87" w14:textId="77777777" w:rsidR="00844860" w:rsidRPr="00844860" w:rsidRDefault="00844860" w:rsidP="0084486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27B94AF6" w14:textId="77777777" w:rsidR="00844860" w:rsidRPr="00BA2032" w:rsidRDefault="00844860" w:rsidP="00BA2032">
      <w:pPr>
        <w:pStyle w:val="a4"/>
        <w:spacing w:before="0" w:beforeAutospacing="0" w:after="0" w:afterAutospacing="0" w:line="360" w:lineRule="auto"/>
        <w:ind w:firstLine="708"/>
        <w:jc w:val="both"/>
        <w:rPr>
          <w:color w:val="000000" w:themeColor="text1"/>
          <w:sz w:val="28"/>
          <w:szCs w:val="28"/>
        </w:rPr>
      </w:pPr>
      <w:r w:rsidRPr="00BA2032">
        <w:rPr>
          <w:color w:val="000000" w:themeColor="text1"/>
          <w:sz w:val="28"/>
          <w:szCs w:val="28"/>
        </w:rPr>
        <w:t>Стрімке зростання обчислювальних потреб систем штучного інтелекту зумовлює необхідність пошуку альтернативних платформ для розміщення обчислювальної інфраструктури. У цьому контексті концепція розміщення дата-центрів поза межами Землі, зокрема на Місяці, набуває все більшої актуальності. Сучасні аналітичні матеріали вказують на швидке зростання енергоспоживання дата-центрів і необхідність переходу до нових моделей їх організації [1; 2].</w:t>
      </w:r>
      <w:r w:rsidRPr="00BA2032">
        <w:rPr>
          <w:color w:val="000000" w:themeColor="text1"/>
          <w:sz w:val="28"/>
          <w:szCs w:val="28"/>
          <w:lang w:val="uk-UA"/>
        </w:rPr>
        <w:t xml:space="preserve"> </w:t>
      </w:r>
      <w:r w:rsidRPr="00BA2032">
        <w:rPr>
          <w:color w:val="000000" w:themeColor="text1"/>
          <w:sz w:val="28"/>
          <w:szCs w:val="28"/>
        </w:rPr>
        <w:t xml:space="preserve">Місячне середовище має низку фізичних переваг для функціонування обчислювальних систем. Вакуум сприяє ефективному тепловідведенню, а стабільне сонячне освітлення в окремих регіонах дозволяє використовувати відновлювані джерела енергії. Дослідницькі програми, реалізовані </w:t>
      </w:r>
      <w:r w:rsidRPr="00BA2032">
        <w:rPr>
          <w:rStyle w:val="whitespace-normal"/>
          <w:color w:val="000000" w:themeColor="text1"/>
          <w:sz w:val="28"/>
          <w:szCs w:val="28"/>
        </w:rPr>
        <w:t>NASA</w:t>
      </w:r>
      <w:r w:rsidRPr="00BA2032">
        <w:rPr>
          <w:color w:val="000000" w:themeColor="text1"/>
          <w:sz w:val="28"/>
          <w:szCs w:val="28"/>
        </w:rPr>
        <w:t>, демонструють можливість створення довготривалої інфраструктури на Місяці в рамках сучасних космічних місій [3].</w:t>
      </w:r>
      <w:r w:rsidR="00BA2032" w:rsidRPr="00BA2032">
        <w:rPr>
          <w:color w:val="000000" w:themeColor="text1"/>
          <w:sz w:val="28"/>
          <w:szCs w:val="28"/>
          <w:lang w:val="uk-UA"/>
        </w:rPr>
        <w:t xml:space="preserve"> </w:t>
      </w:r>
      <w:r w:rsidRPr="00BA2032">
        <w:rPr>
          <w:color w:val="000000" w:themeColor="text1"/>
          <w:sz w:val="28"/>
          <w:szCs w:val="28"/>
        </w:rPr>
        <w:t>Разом з тим, ключовим обмеженням функціонування дата-центру на Місяці є специфіка міжпланетарного зв’язку. Через значну відстань між Землею та Місяцем виникає затримка сигналу приблизно 1,28 секунди в один бік, що унеможливлює застосування традиційних моделей синхронної взаємодії [3]. Це обумовлює необхідність переходу до асинхронних систем обробки даних та підвищення рівня автономності штучного інтелекту.</w:t>
      </w:r>
    </w:p>
    <w:p w14:paraId="0A7D886D" w14:textId="77777777" w:rsidR="00844860" w:rsidRPr="00BA2032" w:rsidRDefault="00844860" w:rsidP="00BA2032">
      <w:pPr>
        <w:pStyle w:val="a4"/>
        <w:spacing w:before="0" w:beforeAutospacing="0" w:after="0" w:afterAutospacing="0" w:line="360" w:lineRule="auto"/>
        <w:ind w:firstLine="708"/>
        <w:jc w:val="both"/>
        <w:rPr>
          <w:color w:val="000000" w:themeColor="text1"/>
          <w:sz w:val="28"/>
          <w:szCs w:val="28"/>
        </w:rPr>
      </w:pPr>
      <w:r w:rsidRPr="00BA2032">
        <w:rPr>
          <w:color w:val="000000" w:themeColor="text1"/>
          <w:sz w:val="28"/>
          <w:szCs w:val="28"/>
        </w:rPr>
        <w:t>Додатковим обмеженням є пропускна здатність каналів зв’язку. Традиційні радіочастотні технології поступово доповнюються лазерними системами зв’язку, які забезпечують значно більшу швидкість передачі даних. Згідно з сучасними дослідженнями, оптичний зв’язок може забезпечити кратне збільшення ефективності передачі інформації у космічних мережах [4].</w:t>
      </w:r>
    </w:p>
    <w:p w14:paraId="0CE774E6" w14:textId="77777777" w:rsidR="00844860" w:rsidRPr="00D467D7" w:rsidRDefault="00844860" w:rsidP="00844860">
      <w:pPr>
        <w:pStyle w:val="a4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  <w:lang w:val="uk-UA"/>
        </w:rPr>
      </w:pPr>
      <w:r w:rsidRPr="00BA2032">
        <w:rPr>
          <w:color w:val="000000" w:themeColor="text1"/>
          <w:sz w:val="28"/>
          <w:szCs w:val="28"/>
        </w:rPr>
        <w:t>Проблема надійності зв’язку також залишається критичною. Наявність затінення, космічних перешкод і обмежених вікон зв’язку зумовлює необхідність використання спеціалізованих протоколів. Одним із ключових рішень є Delay-Tolerant Networking (DTN), який дозволяє передавати дані в умовах значних затримок і переривань зв’язку [5].</w:t>
      </w:r>
      <w:r w:rsidR="00BA2032" w:rsidRPr="00BA2032">
        <w:rPr>
          <w:color w:val="000000" w:themeColor="text1"/>
          <w:sz w:val="28"/>
          <w:szCs w:val="28"/>
          <w:lang w:val="uk-UA"/>
        </w:rPr>
        <w:t xml:space="preserve"> </w:t>
      </w:r>
      <w:r w:rsidRPr="00BA2032">
        <w:rPr>
          <w:color w:val="000000" w:themeColor="text1"/>
          <w:sz w:val="28"/>
          <w:szCs w:val="28"/>
        </w:rPr>
        <w:t xml:space="preserve">У відповідь на ці виклики формується концепція edge-обчислень, яка передбачає локальну обробку </w:t>
      </w:r>
      <w:r w:rsidRPr="00BA2032">
        <w:rPr>
          <w:color w:val="000000" w:themeColor="text1"/>
          <w:sz w:val="28"/>
          <w:szCs w:val="28"/>
        </w:rPr>
        <w:lastRenderedPageBreak/>
        <w:t>даних безпосередньо на Місяці. Це дозволяє мінімізувати залежність від каналів зв’язку із Землею та підвищити ефективність роботи систем штучного інтелекту [1].</w:t>
      </w:r>
      <w:r w:rsidR="00BA2032" w:rsidRPr="00BA2032">
        <w:rPr>
          <w:color w:val="000000" w:themeColor="text1"/>
          <w:sz w:val="28"/>
          <w:szCs w:val="28"/>
          <w:lang w:val="uk-UA"/>
        </w:rPr>
        <w:t xml:space="preserve"> </w:t>
      </w:r>
      <w:r w:rsidRPr="00BA2032">
        <w:rPr>
          <w:color w:val="000000" w:themeColor="text1"/>
          <w:sz w:val="28"/>
          <w:szCs w:val="28"/>
          <w:lang w:val="uk-UA"/>
        </w:rPr>
        <w:t xml:space="preserve">З точки зору національного контексту, розвиток подібних технологій відповідає стратегічним напрямам цифровізації та розвитку космічної діяльності України. </w:t>
      </w:r>
      <w:r w:rsidRPr="00D467D7">
        <w:rPr>
          <w:color w:val="000000" w:themeColor="text1"/>
          <w:sz w:val="28"/>
          <w:szCs w:val="28"/>
          <w:lang w:val="uk-UA"/>
        </w:rPr>
        <w:t>Відповідні державні документи підкреслюють важливість розвитку телекомунікаційної інфраструктури та інтеграції у глобальні технологічні процеси [6; 7].</w:t>
      </w:r>
    </w:p>
    <w:p w14:paraId="267C50FB" w14:textId="77777777" w:rsidR="00844860" w:rsidRPr="00BA2032" w:rsidRDefault="00844860" w:rsidP="00BA2032">
      <w:pPr>
        <w:pStyle w:val="a4"/>
        <w:spacing w:before="0" w:beforeAutospacing="0" w:after="0" w:afterAutospacing="0" w:line="360" w:lineRule="auto"/>
        <w:ind w:firstLine="708"/>
        <w:jc w:val="both"/>
        <w:rPr>
          <w:color w:val="000000" w:themeColor="text1"/>
          <w:sz w:val="28"/>
          <w:szCs w:val="28"/>
        </w:rPr>
      </w:pPr>
      <w:r w:rsidRPr="00D467D7">
        <w:rPr>
          <w:color w:val="000000" w:themeColor="text1"/>
          <w:sz w:val="28"/>
          <w:szCs w:val="28"/>
          <w:lang w:val="uk-UA"/>
        </w:rPr>
        <w:t xml:space="preserve">Таким чином, створення дата-центру штучного інтелекту на Місяці потребує комплексного підходу, що включає розвиток автономних обчислювальних систем, впровадження новітніх технологій зв’язку та адаптацію мережевих протоколів до умов міжпланетарного середовища. </w:t>
      </w:r>
      <w:r w:rsidRPr="00BA2032">
        <w:rPr>
          <w:color w:val="000000" w:themeColor="text1"/>
          <w:sz w:val="28"/>
          <w:szCs w:val="28"/>
        </w:rPr>
        <w:t>Реалізація таких проєктів може стати основою формування міжпланетарної цифрової інфраструктури.</w:t>
      </w:r>
    </w:p>
    <w:p w14:paraId="0A3B7438" w14:textId="77777777" w:rsidR="00BA2032" w:rsidRPr="00BA2032" w:rsidRDefault="00844860" w:rsidP="00BA2032">
      <w:pPr>
        <w:pStyle w:val="1"/>
        <w:spacing w:before="0" w:line="360" w:lineRule="auto"/>
        <w:jc w:val="center"/>
        <w:rPr>
          <w:rStyle w:val="a3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lang w:val="en-US"/>
        </w:rPr>
      </w:pPr>
      <w:r w:rsidRPr="00BA2032">
        <w:rPr>
          <w:rStyle w:val="a3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</w:rPr>
        <w:t>ПЕРЕЛІК</w:t>
      </w:r>
      <w:r w:rsidRPr="00BA2032">
        <w:rPr>
          <w:rStyle w:val="a3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lang w:val="en-US"/>
        </w:rPr>
        <w:t xml:space="preserve"> </w:t>
      </w:r>
      <w:r w:rsidRPr="00BA2032">
        <w:rPr>
          <w:rStyle w:val="a3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</w:rPr>
        <w:t>ДЖЕРЕЛ</w:t>
      </w:r>
    </w:p>
    <w:p w14:paraId="25E64350" w14:textId="43BCDD5F" w:rsidR="00844860" w:rsidRPr="00BA2032" w:rsidRDefault="00844860" w:rsidP="00BA2032">
      <w:pPr>
        <w:pStyle w:val="1"/>
        <w:numPr>
          <w:ilvl w:val="0"/>
          <w:numId w:val="6"/>
        </w:numPr>
        <w:spacing w:before="0" w:line="360" w:lineRule="auto"/>
        <w:ind w:left="0" w:hanging="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A2032">
        <w:rPr>
          <w:rStyle w:val="whitespace-normal"/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MIT Technology Review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. The future of off-Earth data centers [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</w:rPr>
        <w:t>Електронний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</w:rPr>
        <w:t>ресурс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]. 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2024. Режим доступу: </w:t>
      </w:r>
      <w:hyperlink r:id="rId5" w:tgtFrame="_new" w:history="1">
        <w:r w:rsidRPr="00BA2032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</w:rPr>
          <w:t>https://www.technologyreview.com</w:t>
        </w:r>
      </w:hyperlink>
      <w:r w:rsidRPr="00BA20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467D7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(дата звернення 01.0</w:t>
      </w:r>
      <w:r w:rsidR="00D467D7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3</w:t>
      </w:r>
      <w:r w:rsidR="00D467D7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.2026)</w:t>
      </w:r>
    </w:p>
    <w:p w14:paraId="0DB12C08" w14:textId="2D4CC8DD" w:rsidR="00844860" w:rsidRPr="00BA2032" w:rsidRDefault="00844860" w:rsidP="00BA2032">
      <w:pPr>
        <w:numPr>
          <w:ilvl w:val="0"/>
          <w:numId w:val="6"/>
        </w:numPr>
        <w:spacing w:after="0" w:line="360" w:lineRule="auto"/>
        <w:ind w:left="0" w:hanging="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A2032">
        <w:rPr>
          <w:rStyle w:val="whitespace-normal"/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Nature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. Energy and sustainability challenges of data centers [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</w:rPr>
        <w:t>Електронний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</w:rPr>
        <w:t>ресурс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]. 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2023. Режим доступу: </w:t>
      </w:r>
      <w:hyperlink r:id="rId6" w:tgtFrame="_new" w:history="1">
        <w:r w:rsidRPr="00BA2032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</w:rPr>
          <w:t>https://www.nature.com</w:t>
        </w:r>
      </w:hyperlink>
      <w:r w:rsidRPr="00BA20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467D7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(дата звернення 07.03.2026)</w:t>
      </w:r>
    </w:p>
    <w:p w14:paraId="60F2EBD2" w14:textId="129441E4" w:rsidR="00844860" w:rsidRPr="00BA2032" w:rsidRDefault="00844860" w:rsidP="00BA2032">
      <w:pPr>
        <w:numPr>
          <w:ilvl w:val="0"/>
          <w:numId w:val="6"/>
        </w:numPr>
        <w:spacing w:after="0" w:line="360" w:lineRule="auto"/>
        <w:ind w:left="0" w:hanging="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A2032">
        <w:rPr>
          <w:rStyle w:val="whitespace-normal"/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NASA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. Artemis program and lunar infrastructure [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</w:rPr>
        <w:t>Електронний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</w:rPr>
        <w:t>ресурс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]. 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2023. Режим доступу: </w:t>
      </w:r>
      <w:hyperlink r:id="rId7" w:tgtFrame="_new" w:history="1">
        <w:r w:rsidRPr="00BA2032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</w:rPr>
          <w:t>https://www.nasa.gov</w:t>
        </w:r>
      </w:hyperlink>
      <w:r w:rsidRPr="00BA20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467D7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(дата звернення 0</w:t>
      </w:r>
      <w:r w:rsidR="00D467D7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8</w:t>
      </w:r>
      <w:r w:rsidR="00D467D7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.04.2026)</w:t>
      </w:r>
    </w:p>
    <w:p w14:paraId="624DCAFA" w14:textId="72906AB5" w:rsidR="00844860" w:rsidRPr="00BA2032" w:rsidRDefault="00844860" w:rsidP="00BA2032">
      <w:pPr>
        <w:numPr>
          <w:ilvl w:val="0"/>
          <w:numId w:val="6"/>
        </w:numPr>
        <w:spacing w:after="0" w:line="360" w:lineRule="auto"/>
        <w:ind w:left="0" w:hanging="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A2032">
        <w:rPr>
          <w:rStyle w:val="whitespace-normal"/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IEEE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. Optical communications in space [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</w:rPr>
        <w:t>Електронний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</w:rPr>
        <w:t>ресурс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]. 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2021. Режим доступу: </w:t>
      </w:r>
      <w:hyperlink r:id="rId8" w:tgtFrame="_new" w:history="1">
        <w:r w:rsidRPr="00BA2032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</w:rPr>
          <w:t>https://ieeexplore.ieee.org</w:t>
        </w:r>
      </w:hyperlink>
      <w:r w:rsidRPr="00BA20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467D7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(дата звернення 0</w:t>
      </w:r>
      <w:r w:rsidR="00D467D7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4</w:t>
      </w:r>
      <w:r w:rsidR="00D467D7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.04.2026)</w:t>
      </w:r>
    </w:p>
    <w:p w14:paraId="5D70C40B" w14:textId="7898FDA4" w:rsidR="00844860" w:rsidRPr="00BA2032" w:rsidRDefault="00844860" w:rsidP="00BA2032">
      <w:pPr>
        <w:numPr>
          <w:ilvl w:val="0"/>
          <w:numId w:val="6"/>
        </w:numPr>
        <w:spacing w:after="0" w:line="360" w:lineRule="auto"/>
        <w:ind w:left="0" w:hanging="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A2032">
        <w:rPr>
          <w:rStyle w:val="whitespace-normal"/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NASA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. Delay-Tolerant Networking (DTN) overview [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</w:rPr>
        <w:t>Електронний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</w:rPr>
        <w:t>ресурс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]. 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2022. Режим доступу: </w:t>
      </w:r>
      <w:hyperlink r:id="rId9" w:tgtFrame="_new" w:history="1">
        <w:r w:rsidRPr="00BA2032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</w:rPr>
          <w:t>https://www.nasa.gov</w:t>
        </w:r>
      </w:hyperlink>
      <w:r w:rsidRPr="00BA20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467D7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(дата звернення 0</w:t>
      </w:r>
      <w:r w:rsidR="00D467D7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4</w:t>
      </w:r>
      <w:r w:rsidR="00D467D7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.04.2026)</w:t>
      </w:r>
    </w:p>
    <w:p w14:paraId="4A1DB110" w14:textId="77777777" w:rsidR="00844860" w:rsidRPr="00BA2032" w:rsidRDefault="00844860" w:rsidP="00BA2032">
      <w:pPr>
        <w:numPr>
          <w:ilvl w:val="0"/>
          <w:numId w:val="6"/>
        </w:numPr>
        <w:spacing w:after="0" w:line="360" w:lineRule="auto"/>
        <w:ind w:left="0" w:hanging="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A2032">
        <w:rPr>
          <w:rStyle w:val="whitespace-normal"/>
          <w:rFonts w:ascii="Times New Roman" w:hAnsi="Times New Roman" w:cs="Times New Roman"/>
          <w:color w:val="000000" w:themeColor="text1"/>
          <w:sz w:val="28"/>
          <w:szCs w:val="28"/>
        </w:rPr>
        <w:t>Міністерство цифрової трансформації України</w:t>
      </w:r>
      <w:r w:rsidRPr="00BA20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Стратегія розвитку цифрової економіки [Електронний ресурс]. 2022. Режим доступу: </w:t>
      </w:r>
      <w:hyperlink r:id="rId10" w:tgtFrame="_new" w:history="1">
        <w:r w:rsidRPr="00BA2032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</w:rPr>
          <w:t>https://thedigital.gov.ua</w:t>
        </w:r>
      </w:hyperlink>
      <w:r w:rsidRPr="00BA20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701E8F32" w14:textId="0D7AD8BC" w:rsidR="007163A1" w:rsidRDefault="00844860" w:rsidP="006B783D">
      <w:pPr>
        <w:keepNext/>
        <w:keepLines/>
        <w:numPr>
          <w:ilvl w:val="0"/>
          <w:numId w:val="6"/>
        </w:numPr>
        <w:spacing w:before="240" w:after="0" w:line="360" w:lineRule="auto"/>
        <w:ind w:left="0" w:hanging="284"/>
        <w:jc w:val="both"/>
        <w:outlineLvl w:val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467D7">
        <w:rPr>
          <w:rStyle w:val="whitespace-normal"/>
          <w:rFonts w:ascii="Times New Roman" w:hAnsi="Times New Roman" w:cs="Times New Roman"/>
          <w:color w:val="000000" w:themeColor="text1"/>
          <w:sz w:val="28"/>
          <w:szCs w:val="28"/>
        </w:rPr>
        <w:t>Державне космічне агентство України</w:t>
      </w:r>
      <w:r w:rsidRPr="00D467D7">
        <w:rPr>
          <w:rFonts w:ascii="Times New Roman" w:hAnsi="Times New Roman" w:cs="Times New Roman"/>
          <w:color w:val="000000" w:themeColor="text1"/>
          <w:sz w:val="28"/>
          <w:szCs w:val="28"/>
        </w:rPr>
        <w:t>. Концепція розвитку космічної діяльності України [Електронний ресурс]. 2020. Режим доступу: https://space.gov.ua</w:t>
      </w:r>
      <w:r w:rsidR="00D467D7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(дата звернення 0</w:t>
      </w:r>
      <w:r w:rsidR="00D467D7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9</w:t>
      </w:r>
      <w:r w:rsidR="00D467D7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.04.2026)</w:t>
      </w:r>
    </w:p>
    <w:sectPr w:rsidR="007163A1" w:rsidSect="00BA2032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E56524"/>
    <w:multiLevelType w:val="multilevel"/>
    <w:tmpl w:val="E58CC9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180E09"/>
    <w:multiLevelType w:val="multilevel"/>
    <w:tmpl w:val="2E26F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096836"/>
    <w:multiLevelType w:val="multilevel"/>
    <w:tmpl w:val="644E7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B73157"/>
    <w:multiLevelType w:val="multilevel"/>
    <w:tmpl w:val="0A800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810738"/>
    <w:multiLevelType w:val="multilevel"/>
    <w:tmpl w:val="5860D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F43934"/>
    <w:multiLevelType w:val="multilevel"/>
    <w:tmpl w:val="8DB4B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811AA4"/>
    <w:multiLevelType w:val="multilevel"/>
    <w:tmpl w:val="83141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7443C24"/>
    <w:multiLevelType w:val="multilevel"/>
    <w:tmpl w:val="03C61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C273699"/>
    <w:multiLevelType w:val="multilevel"/>
    <w:tmpl w:val="95567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B71639"/>
    <w:multiLevelType w:val="multilevel"/>
    <w:tmpl w:val="6CE65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CAF7B73"/>
    <w:multiLevelType w:val="multilevel"/>
    <w:tmpl w:val="5EBE0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1456147"/>
    <w:multiLevelType w:val="hybridMultilevel"/>
    <w:tmpl w:val="612C69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7978BE"/>
    <w:multiLevelType w:val="hybridMultilevel"/>
    <w:tmpl w:val="B4C805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9"/>
  </w:num>
  <w:num w:numId="3">
    <w:abstractNumId w:val="6"/>
  </w:num>
  <w:num w:numId="4">
    <w:abstractNumId w:val="12"/>
  </w:num>
  <w:num w:numId="5">
    <w:abstractNumId w:val="10"/>
  </w:num>
  <w:num w:numId="6">
    <w:abstractNumId w:val="11"/>
  </w:num>
  <w:num w:numId="7">
    <w:abstractNumId w:val="3"/>
  </w:num>
  <w:num w:numId="8">
    <w:abstractNumId w:val="8"/>
  </w:num>
  <w:num w:numId="9">
    <w:abstractNumId w:val="2"/>
  </w:num>
  <w:num w:numId="10">
    <w:abstractNumId w:val="7"/>
  </w:num>
  <w:num w:numId="11">
    <w:abstractNumId w:val="1"/>
  </w:num>
  <w:num w:numId="12">
    <w:abstractNumId w:val="5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860"/>
    <w:rsid w:val="00351302"/>
    <w:rsid w:val="007163A1"/>
    <w:rsid w:val="00844860"/>
    <w:rsid w:val="00BA2032"/>
    <w:rsid w:val="00D46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4AD9F"/>
  <w15:chartTrackingRefBased/>
  <w15:docId w15:val="{AF4FF27D-F71C-4DE0-8B1C-D2B2EAD68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48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8448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84486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4486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844860"/>
    <w:rPr>
      <w:b/>
      <w:bCs/>
    </w:rPr>
  </w:style>
  <w:style w:type="paragraph" w:styleId="a4">
    <w:name w:val="Normal (Web)"/>
    <w:basedOn w:val="a"/>
    <w:uiPriority w:val="99"/>
    <w:unhideWhenUsed/>
    <w:rsid w:val="008448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hitespace-normal">
    <w:name w:val="whitespace-normal"/>
    <w:basedOn w:val="a0"/>
    <w:rsid w:val="00844860"/>
  </w:style>
  <w:style w:type="character" w:customStyle="1" w:styleId="30">
    <w:name w:val="Заголовок 3 Знак"/>
    <w:basedOn w:val="a0"/>
    <w:link w:val="3"/>
    <w:uiPriority w:val="9"/>
    <w:rsid w:val="0084486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8448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a5">
    <w:name w:val="Hyperlink"/>
    <w:basedOn w:val="a0"/>
    <w:uiPriority w:val="99"/>
    <w:semiHidden/>
    <w:unhideWhenUsed/>
    <w:rsid w:val="0084486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9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0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eeexplore.ieee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nasa.gov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ature.com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technologyreview.com" TargetMode="External"/><Relationship Id="rId10" Type="http://schemas.openxmlformats.org/officeDocument/2006/relationships/hyperlink" Target="https://thedigital.gov.u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asa.gov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898</Words>
  <Characters>5122</Characters>
  <Application>Microsoft Office Word</Application>
  <DocSecurity>0</DocSecurity>
  <Lines>42</Lines>
  <Paragraphs>12</Paragraphs>
  <ScaleCrop>false</ScaleCrop>
  <Company/>
  <LinksUpToDate>false</LinksUpToDate>
  <CharactersWithSpaces>6008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Olepole</dc:creator>
  <cp:keywords/>
  <dc:description/>
  <cp:lastModifiedBy>Olepole</cp:lastModifiedBy>
  <cp:revision>3</cp:revision>
  <dcterms:created xsi:type="dcterms:W3CDTF">2026-04-24T13:32:00Z</dcterms:created>
  <dcterms:modified xsi:type="dcterms:W3CDTF">2026-04-24T13:36:00Z</dcterms:modified>
</cp:coreProperties>
</file>