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10C1B" w14:textId="2D436FC5" w:rsidR="003873D2" w:rsidRDefault="003873D2" w:rsidP="007D0E3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val="ru-RU" w:eastAsia="uk-UA"/>
        </w:rPr>
      </w:pPr>
      <w:r w:rsidRPr="003873D2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uk-UA"/>
        </w:rPr>
        <w:t>Порівняльне дослідження видового складу, інтенсивності та поведінкової активності комах у денний та нічний періоди доби в лісопарковій зоні і агроценозі міста Берегове</w:t>
      </w:r>
    </w:p>
    <w:p w14:paraId="739D9669" w14:textId="77777777" w:rsidR="003873D2" w:rsidRPr="003873D2" w:rsidRDefault="003873D2" w:rsidP="003873D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val="ru-RU" w:eastAsia="uk-UA"/>
        </w:rPr>
      </w:pPr>
    </w:p>
    <w:p w14:paraId="702CC792" w14:textId="01334C77" w:rsidR="003873D2" w:rsidRPr="003873D2" w:rsidRDefault="003873D2" w:rsidP="003873D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</w:pPr>
      <w:r w:rsidRPr="003873D2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uk-UA"/>
        </w:rPr>
        <w:t>Пуканич Анжела Едуардівна,</w:t>
      </w:r>
      <w:r w:rsidRPr="003873D2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 xml:space="preserve"> учениця 8 класу Берегівського ліцею ім</w:t>
      </w:r>
      <w:r w:rsidR="00BF451B">
        <w:rPr>
          <w:rFonts w:ascii="Times New Roman" w:eastAsia="Times New Roman" w:hAnsi="Times New Roman" w:cs="Times New Roman"/>
          <w:noProof/>
          <w:sz w:val="28"/>
          <w:szCs w:val="28"/>
          <w:lang w:val="ru-RU" w:eastAsia="uk-UA"/>
        </w:rPr>
        <w:t>ен</w:t>
      </w:r>
      <w:r w:rsidR="00BF451B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>і</w:t>
      </w:r>
      <w:r w:rsidRPr="003873D2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 xml:space="preserve"> Ф</w: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>едора</w:t>
      </w:r>
      <w:r w:rsidRPr="003873D2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 xml:space="preserve"> Потушняка Берегівської міської ради Закарпатської області.</w:t>
      </w:r>
    </w:p>
    <w:p w14:paraId="00F12727" w14:textId="77777777" w:rsidR="003873D2" w:rsidRPr="003873D2" w:rsidRDefault="003873D2" w:rsidP="003873D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uk-UA"/>
        </w:rPr>
      </w:pPr>
      <w:r w:rsidRPr="003873D2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uk-UA"/>
        </w:rPr>
        <w:t>Берегівська філія Малої академії наук України</w:t>
      </w:r>
    </w:p>
    <w:p w14:paraId="0E6ACEDD" w14:textId="6678DE9F" w:rsidR="003873D2" w:rsidRPr="00300D7D" w:rsidRDefault="003873D2" w:rsidP="003873D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</w:pPr>
      <w:r w:rsidRPr="003873D2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uk-UA"/>
        </w:rPr>
        <w:t>Науковий керівник:</w:t>
      </w:r>
      <w:r w:rsidRPr="003873D2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 xml:space="preserve"> Кушнір Марія Іванівна, учителька біології та екології</w:t>
      </w:r>
      <w:r w:rsidRPr="00300D7D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 xml:space="preserve"> Берегівського ліцею ім</w:t>
      </w:r>
      <w:r w:rsidR="00BF451B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>ені</w:t>
      </w:r>
      <w:r w:rsidRPr="00300D7D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 xml:space="preserve"> Федора Потушняка Берегівської міської ради Закарпатської області.</w:t>
      </w:r>
    </w:p>
    <w:p w14:paraId="271146A4" w14:textId="08B026FA" w:rsidR="003873D2" w:rsidRPr="00300D7D" w:rsidRDefault="003873D2" w:rsidP="003873D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</w:pPr>
      <w:r w:rsidRPr="003873D2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uk-UA"/>
        </w:rPr>
        <w:t>Мета роботи:</w:t>
      </w:r>
      <w:r w:rsidRPr="003873D2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 xml:space="preserve"> шляхом порівняльного польового дослідження з'ясувати відмінності добової активності комах у структурно різних біотопах міста Берегове </w:t>
      </w:r>
      <w:r w:rsidR="00741DF8" w:rsidRPr="00741DF8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>—</w:t>
      </w:r>
      <w:r w:rsidRPr="003873D2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 xml:space="preserve"> лісопарковій зоні та агроценозі (полі жита) </w:t>
      </w:r>
      <w:r w:rsidR="00741DF8" w:rsidRPr="00741DF8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>—</w:t>
      </w:r>
      <w:r w:rsidRPr="003873D2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 xml:space="preserve"> та розробити на основі цих знань пропозиції для збереження ентомофауни.</w:t>
      </w:r>
    </w:p>
    <w:p w14:paraId="38F0F4B1" w14:textId="58EFA04B" w:rsidR="003873D2" w:rsidRPr="003873D2" w:rsidRDefault="003873D2" w:rsidP="003873D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</w:pPr>
      <w:r w:rsidRPr="003873D2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uk-UA"/>
        </w:rPr>
        <w:t>Завдання дослідження:</w:t>
      </w:r>
      <w:r w:rsidRPr="003873D2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 xml:space="preserve"> на основі аналізу наукових джерел розібратися в механізмах добових ритмів комах та класифікувати типи їхньої активності, провести власні спостереження у лісопарковій зоні та на агроценозі міста Берегове з використанням методу фотофіксації для інвентаризації денних і нічних видів комах, оцінити вплив ключових факторів (штучного освітлення, температури, вологості) на поведінку комах у кожному біотопі, порівняти два біотопи за рівнем видового різноманіття, чіткістю добових змін та функціональним складом угруповань, а також систематизувати виявлені загрози та запропонувати реальні кроки для місцевої влади й громади щодо збереження міської ентомофауни.</w:t>
      </w:r>
    </w:p>
    <w:p w14:paraId="728F91CE" w14:textId="7BE5447E" w:rsidR="003873D2" w:rsidRPr="003873D2" w:rsidRDefault="003873D2" w:rsidP="003873D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noProof/>
          <w:sz w:val="28"/>
          <w:szCs w:val="28"/>
          <w:lang w:val="ru-RU" w:eastAsia="uk-UA"/>
        </w:rPr>
      </w:pPr>
      <w:r w:rsidRPr="003873D2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uk-UA"/>
        </w:rPr>
        <w:t>Об'єкт дослідження:</w:t>
      </w:r>
      <w:r w:rsidRPr="003873D2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 xml:space="preserve"> ентомофауна міста Берегове.</w:t>
      </w:r>
    </w:p>
    <w:p w14:paraId="1996D325" w14:textId="191E73CA" w:rsidR="003873D2" w:rsidRPr="00300D7D" w:rsidRDefault="003873D2" w:rsidP="003873D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</w:pPr>
      <w:r w:rsidRPr="003873D2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uk-UA"/>
        </w:rPr>
        <w:t>Предмет дослідження:</w:t>
      </w:r>
      <w:r w:rsidRPr="003873D2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 xml:space="preserve"> особливості добової активності, видовий склад та розподіл комах у лісопарковій зоні (вул. </w:t>
      </w:r>
      <w:r w:rsidR="00012FA9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>Мукачівська</w:t>
      </w:r>
      <w:r w:rsidRPr="003873D2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 xml:space="preserve">) та агроценозі (поле жита, вул. </w:t>
      </w:r>
      <w:r w:rsidR="00012FA9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>Сільваш</w:t>
      </w:r>
      <w:r w:rsidRPr="003873D2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>) міста Берегове.</w:t>
      </w:r>
    </w:p>
    <w:p w14:paraId="074DB67B" w14:textId="791E15A6" w:rsidR="003873D2" w:rsidRPr="00300D7D" w:rsidRDefault="003873D2" w:rsidP="003873D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</w:pPr>
      <w:r w:rsidRPr="003873D2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 xml:space="preserve">Комахи є фундаментом екологічної стабільності, однак в умовах міського середовища їхні добові ритми стикаються з потужними стресами: втратою середовищ існування, кліматичними змінами та штучним освітленням, яке </w:t>
      </w:r>
      <w:r w:rsidRPr="003873D2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lastRenderedPageBreak/>
        <w:t>порушує природні цикли світла й темряви. Спостерігаючи за комахами вдень та вночі в різних біотопах Берегового, я прагнула не лише зафіксувати різноманіття ентомофауни, а й зрозуміти, як світло, температура та структура середовища змінюють їхню поведінку, аби запропонувати реальні кроки для збереження цих важливих мешканців нашого міста.</w:t>
      </w:r>
    </w:p>
    <w:p w14:paraId="7C6278F3" w14:textId="49F1C942" w:rsidR="003873D2" w:rsidRPr="00300D7D" w:rsidRDefault="003873D2" w:rsidP="003873D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</w:pPr>
      <w:r w:rsidRPr="003873D2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uk-UA"/>
        </w:rPr>
        <w:t>Експериментальна частина.</w:t>
      </w:r>
      <w:r w:rsidRPr="003873D2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 xml:space="preserve"> У ході систематичних польових спостережень улітку 2025 року з фотофіксацією у денний (10:00-16:00) та нічний (21:00-03:00) час виявлено, що лісопаркова зона (вул. Головна) є осередком високого біорізноманіття з чіткою зміною денних і нічних угруповань. Зафіксовано такі значущі види: хижак богомол звичайний (</w:t>
      </w:r>
      <w:r w:rsidRPr="00300D7D">
        <w:rPr>
          <w:rFonts w:ascii="Times New Roman" w:eastAsia="Times New Roman" w:hAnsi="Times New Roman" w:cs="Times New Roman"/>
          <w:i/>
          <w:iCs/>
          <w:noProof/>
          <w:sz w:val="28"/>
          <w:szCs w:val="28"/>
          <w:lang w:eastAsia="uk-UA"/>
        </w:rPr>
        <w:t>Mantis religiosa</w:t>
      </w:r>
      <w:r w:rsidRPr="003873D2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>), корисні сонечка (</w:t>
      </w:r>
      <w:r w:rsidRPr="00300D7D">
        <w:rPr>
          <w:rFonts w:ascii="Times New Roman" w:eastAsia="Times New Roman" w:hAnsi="Times New Roman" w:cs="Times New Roman"/>
          <w:i/>
          <w:iCs/>
          <w:noProof/>
          <w:sz w:val="28"/>
          <w:szCs w:val="28"/>
          <w:lang w:eastAsia="uk-UA"/>
        </w:rPr>
        <w:t>Coccinella septempunctata</w:t>
      </w:r>
      <w:r w:rsidRPr="003873D2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 xml:space="preserve"> та </w:t>
      </w:r>
      <w:r w:rsidRPr="00300D7D">
        <w:rPr>
          <w:rFonts w:ascii="Times New Roman" w:eastAsia="Times New Roman" w:hAnsi="Times New Roman" w:cs="Times New Roman"/>
          <w:i/>
          <w:iCs/>
          <w:noProof/>
          <w:sz w:val="28"/>
          <w:szCs w:val="28"/>
          <w:lang w:eastAsia="uk-UA"/>
        </w:rPr>
        <w:t>Adonia variegata</w:t>
      </w:r>
      <w:r w:rsidRPr="003873D2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>), клоп-арлекін (</w:t>
      </w:r>
      <w:r w:rsidRPr="00300D7D">
        <w:rPr>
          <w:rFonts w:ascii="Times New Roman" w:eastAsia="Times New Roman" w:hAnsi="Times New Roman" w:cs="Times New Roman"/>
          <w:i/>
          <w:iCs/>
          <w:noProof/>
          <w:sz w:val="28"/>
          <w:szCs w:val="28"/>
          <w:lang w:eastAsia="uk-UA"/>
        </w:rPr>
        <w:t>Sehirus cinctus</w:t>
      </w:r>
      <w:r w:rsidRPr="003873D2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>), муха-паразитоїд круглочерева тахіна (</w:t>
      </w:r>
      <w:r w:rsidRPr="00300D7D">
        <w:rPr>
          <w:rFonts w:ascii="Times New Roman" w:eastAsia="Times New Roman" w:hAnsi="Times New Roman" w:cs="Times New Roman"/>
          <w:i/>
          <w:iCs/>
          <w:noProof/>
          <w:sz w:val="28"/>
          <w:szCs w:val="28"/>
          <w:lang w:eastAsia="uk-UA"/>
        </w:rPr>
        <w:t>Gymnosoma rotundatum</w:t>
      </w:r>
      <w:r w:rsidRPr="003873D2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>), нічний сапрофаг медляк-віщун (</w:t>
      </w:r>
      <w:r w:rsidRPr="00300D7D">
        <w:rPr>
          <w:rFonts w:ascii="Times New Roman" w:eastAsia="Times New Roman" w:hAnsi="Times New Roman" w:cs="Times New Roman"/>
          <w:i/>
          <w:iCs/>
          <w:noProof/>
          <w:sz w:val="28"/>
          <w:szCs w:val="28"/>
          <w:lang w:eastAsia="uk-UA"/>
        </w:rPr>
        <w:t>Blaps mortisaga</w:t>
      </w:r>
      <w:r w:rsidRPr="003873D2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>), а також рідкісний мураха-рабовласник (</w:t>
      </w:r>
      <w:r w:rsidRPr="00300D7D">
        <w:rPr>
          <w:rFonts w:ascii="Times New Roman" w:eastAsia="Times New Roman" w:hAnsi="Times New Roman" w:cs="Times New Roman"/>
          <w:i/>
          <w:iCs/>
          <w:noProof/>
          <w:sz w:val="28"/>
          <w:szCs w:val="28"/>
          <w:lang w:eastAsia="uk-UA"/>
        </w:rPr>
        <w:t>Formica sanguinea</w:t>
      </w:r>
      <w:r w:rsidRPr="003873D2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 xml:space="preserve">), що свідчить про високу екологічну стабільність біотопу. Натомість агроценоз (поле жита, вул. Фабрична) характеризується збідненим видовим складом із домінуванням денних фітофагів-шкідників (клопів-щитників </w:t>
      </w:r>
      <w:r w:rsidRPr="00300D7D">
        <w:rPr>
          <w:rFonts w:ascii="Times New Roman" w:eastAsia="Times New Roman" w:hAnsi="Times New Roman" w:cs="Times New Roman"/>
          <w:i/>
          <w:iCs/>
          <w:noProof/>
          <w:sz w:val="28"/>
          <w:szCs w:val="28"/>
          <w:lang w:eastAsia="uk-UA"/>
        </w:rPr>
        <w:t>Pentatomidae</w:t>
      </w:r>
      <w:r w:rsidRPr="003873D2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 xml:space="preserve">, трипсів </w:t>
      </w:r>
      <w:r w:rsidRPr="00300D7D">
        <w:rPr>
          <w:rFonts w:ascii="Times New Roman" w:eastAsia="Times New Roman" w:hAnsi="Times New Roman" w:cs="Times New Roman"/>
          <w:i/>
          <w:iCs/>
          <w:noProof/>
          <w:sz w:val="28"/>
          <w:szCs w:val="28"/>
          <w:lang w:eastAsia="uk-UA"/>
        </w:rPr>
        <w:t>Thysanoptera</w:t>
      </w:r>
      <w:r w:rsidRPr="003873D2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>) та майже повною відсутністю різноманітної нічної фауни. Встановлено, що штучне світло спричиняє масову фотопозитивну реакцію нічних метеликів (</w:t>
      </w:r>
      <w:r w:rsidRPr="00300D7D">
        <w:rPr>
          <w:rFonts w:ascii="Times New Roman" w:eastAsia="Times New Roman" w:hAnsi="Times New Roman" w:cs="Times New Roman"/>
          <w:i/>
          <w:iCs/>
          <w:noProof/>
          <w:sz w:val="28"/>
          <w:szCs w:val="28"/>
          <w:lang w:eastAsia="uk-UA"/>
        </w:rPr>
        <w:t>Angerona prunaria</w:t>
      </w:r>
      <w:r w:rsidRPr="003873D2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 xml:space="preserve">, </w:t>
      </w:r>
      <w:r w:rsidRPr="00300D7D">
        <w:rPr>
          <w:rFonts w:ascii="Times New Roman" w:eastAsia="Times New Roman" w:hAnsi="Times New Roman" w:cs="Times New Roman"/>
          <w:i/>
          <w:iCs/>
          <w:noProof/>
          <w:sz w:val="28"/>
          <w:szCs w:val="28"/>
          <w:lang w:eastAsia="uk-UA"/>
        </w:rPr>
        <w:t>Idaea biselata</w:t>
      </w:r>
      <w:r w:rsidRPr="003873D2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 xml:space="preserve">), що призводить до їх дезорієнтації, виснаження та загибелі. Завдяки тіні крон дерев вологість та температура в лісопарку є стабільнішими (на 3-5°C нижче, ніж на полі), що дозволяє комахам залишатися активними довше. Розроблено авторську формулу інтегрального показника ефективності екологічної мережі </w:t>
      </w:r>
      <w:r w:rsidR="00300D7D" w:rsidRPr="00300D7D">
        <w:rPr>
          <w:rFonts w:ascii="Times New Roman" w:eastAsia="Times New Roman" w:hAnsi="Times New Roman" w:cs="Times New Roman"/>
          <w:i/>
          <w:iCs/>
          <w:noProof/>
          <w:sz w:val="28"/>
          <w:szCs w:val="28"/>
          <w:lang w:eastAsia="uk-UA"/>
        </w:rPr>
        <w:t>I</w:t>
      </w:r>
      <w:r w:rsidR="00300D7D" w:rsidRPr="00300D7D">
        <w:rPr>
          <w:rFonts w:ascii="Times New Roman" w:eastAsia="Times New Roman" w:hAnsi="Times New Roman" w:cs="Times New Roman"/>
          <w:i/>
          <w:iCs/>
          <w:noProof/>
          <w:sz w:val="28"/>
          <w:szCs w:val="28"/>
          <w:vertAlign w:val="subscript"/>
          <w:lang w:eastAsia="uk-UA"/>
        </w:rPr>
        <w:t>EEM</w:t>
      </w:r>
      <w:r w:rsidR="00300D7D" w:rsidRPr="00300D7D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 xml:space="preserve"> = (</w:t>
      </w:r>
      <w:r w:rsidR="00300D7D" w:rsidRPr="00300D7D">
        <w:rPr>
          <w:rFonts w:ascii="Times New Roman" w:eastAsia="Times New Roman" w:hAnsi="Times New Roman" w:cs="Times New Roman"/>
          <w:i/>
          <w:iCs/>
          <w:noProof/>
          <w:sz w:val="28"/>
          <w:szCs w:val="28"/>
          <w:vertAlign w:val="subscript"/>
          <w:lang w:eastAsia="uk-UA"/>
        </w:rPr>
        <w:t>Icore</w:t>
      </w:r>
      <w:r w:rsidR="00300D7D" w:rsidRPr="00300D7D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 xml:space="preserve"> · </w:t>
      </w:r>
      <w:r w:rsidR="00300D7D" w:rsidRPr="00300D7D">
        <w:rPr>
          <w:rFonts w:ascii="Times New Roman" w:eastAsia="Times New Roman" w:hAnsi="Times New Roman" w:cs="Times New Roman"/>
          <w:i/>
          <w:iCs/>
          <w:noProof/>
          <w:sz w:val="28"/>
          <w:szCs w:val="28"/>
          <w:lang w:eastAsia="uk-UA"/>
        </w:rPr>
        <w:t>W</w:t>
      </w:r>
      <w:r w:rsidR="00300D7D" w:rsidRPr="00300D7D">
        <w:rPr>
          <w:rFonts w:ascii="Times New Roman" w:eastAsia="Times New Roman" w:hAnsi="Times New Roman" w:cs="Times New Roman"/>
          <w:i/>
          <w:iCs/>
          <w:noProof/>
          <w:sz w:val="28"/>
          <w:szCs w:val="28"/>
          <w:vertAlign w:val="subscript"/>
          <w:lang w:eastAsia="uk-UA"/>
        </w:rPr>
        <w:t>1</w:t>
      </w:r>
      <w:r w:rsidR="00300D7D" w:rsidRPr="00300D7D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 xml:space="preserve"> + </w:t>
      </w:r>
      <w:r w:rsidR="00300D7D" w:rsidRPr="00300D7D">
        <w:rPr>
          <w:rFonts w:ascii="Times New Roman" w:eastAsia="Times New Roman" w:hAnsi="Times New Roman" w:cs="Times New Roman"/>
          <w:i/>
          <w:iCs/>
          <w:noProof/>
          <w:sz w:val="28"/>
          <w:szCs w:val="28"/>
          <w:lang w:eastAsia="uk-UA"/>
        </w:rPr>
        <w:t>I</w:t>
      </w:r>
      <w:r w:rsidR="00300D7D" w:rsidRPr="00300D7D">
        <w:rPr>
          <w:rFonts w:ascii="Times New Roman" w:eastAsia="Times New Roman" w:hAnsi="Times New Roman" w:cs="Times New Roman"/>
          <w:i/>
          <w:iCs/>
          <w:noProof/>
          <w:sz w:val="28"/>
          <w:szCs w:val="28"/>
          <w:vertAlign w:val="subscript"/>
          <w:lang w:eastAsia="uk-UA"/>
        </w:rPr>
        <w:t>conn</w:t>
      </w:r>
      <w:r w:rsidR="00300D7D" w:rsidRPr="00300D7D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 xml:space="preserve"> · </w:t>
      </w:r>
      <w:r w:rsidR="00300D7D" w:rsidRPr="00300D7D">
        <w:rPr>
          <w:rFonts w:ascii="Times New Roman" w:eastAsia="Times New Roman" w:hAnsi="Times New Roman" w:cs="Times New Roman"/>
          <w:i/>
          <w:iCs/>
          <w:noProof/>
          <w:sz w:val="28"/>
          <w:szCs w:val="28"/>
          <w:lang w:eastAsia="uk-UA"/>
        </w:rPr>
        <w:t>W</w:t>
      </w:r>
      <w:r w:rsidR="00300D7D" w:rsidRPr="00300D7D">
        <w:rPr>
          <w:rFonts w:ascii="Times New Roman" w:eastAsia="Times New Roman" w:hAnsi="Times New Roman" w:cs="Times New Roman"/>
          <w:i/>
          <w:iCs/>
          <w:noProof/>
          <w:sz w:val="28"/>
          <w:szCs w:val="28"/>
          <w:vertAlign w:val="subscript"/>
          <w:lang w:eastAsia="uk-UA"/>
        </w:rPr>
        <w:t>2</w:t>
      </w:r>
      <w:r w:rsidR="00300D7D" w:rsidRPr="00300D7D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 xml:space="preserve"> + </w:t>
      </w:r>
      <w:r w:rsidR="00300D7D" w:rsidRPr="00300D7D">
        <w:rPr>
          <w:rFonts w:ascii="Times New Roman" w:eastAsia="Times New Roman" w:hAnsi="Times New Roman" w:cs="Times New Roman"/>
          <w:i/>
          <w:iCs/>
          <w:noProof/>
          <w:sz w:val="28"/>
          <w:szCs w:val="28"/>
          <w:lang w:eastAsia="uk-UA"/>
        </w:rPr>
        <w:t>I</w:t>
      </w:r>
      <w:r w:rsidR="00300D7D" w:rsidRPr="00300D7D">
        <w:rPr>
          <w:rFonts w:ascii="Times New Roman" w:eastAsia="Times New Roman" w:hAnsi="Times New Roman" w:cs="Times New Roman"/>
          <w:i/>
          <w:iCs/>
          <w:noProof/>
          <w:sz w:val="28"/>
          <w:szCs w:val="28"/>
          <w:vertAlign w:val="subscript"/>
          <w:lang w:eastAsia="uk-UA"/>
        </w:rPr>
        <w:t>buff</w:t>
      </w:r>
      <w:r w:rsidR="00300D7D" w:rsidRPr="00300D7D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 xml:space="preserve"> · </w:t>
      </w:r>
      <w:r w:rsidR="00300D7D" w:rsidRPr="00300D7D">
        <w:rPr>
          <w:rFonts w:ascii="Times New Roman" w:eastAsia="Times New Roman" w:hAnsi="Times New Roman" w:cs="Times New Roman"/>
          <w:i/>
          <w:iCs/>
          <w:noProof/>
          <w:sz w:val="28"/>
          <w:szCs w:val="28"/>
          <w:lang w:eastAsia="uk-UA"/>
        </w:rPr>
        <w:t>W</w:t>
      </w:r>
      <w:r w:rsidR="00300D7D" w:rsidRPr="00300D7D">
        <w:rPr>
          <w:rFonts w:ascii="Times New Roman" w:eastAsia="Times New Roman" w:hAnsi="Times New Roman" w:cs="Times New Roman"/>
          <w:i/>
          <w:iCs/>
          <w:noProof/>
          <w:sz w:val="28"/>
          <w:szCs w:val="28"/>
          <w:vertAlign w:val="subscript"/>
          <w:lang w:eastAsia="uk-UA"/>
        </w:rPr>
        <w:t>3</w:t>
      </w:r>
      <w:r w:rsidR="00300D7D" w:rsidRPr="00300D7D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 xml:space="preserve">) · (1 - </w:t>
      </w:r>
      <w:r w:rsidR="00300D7D" w:rsidRPr="00300D7D">
        <w:rPr>
          <w:rFonts w:ascii="Times New Roman" w:eastAsia="Times New Roman" w:hAnsi="Times New Roman" w:cs="Times New Roman"/>
          <w:i/>
          <w:iCs/>
          <w:noProof/>
          <w:sz w:val="28"/>
          <w:szCs w:val="28"/>
          <w:lang w:eastAsia="uk-UA"/>
        </w:rPr>
        <w:t>F</w:t>
      </w:r>
      <w:r w:rsidR="00300D7D" w:rsidRPr="00300D7D">
        <w:rPr>
          <w:rFonts w:ascii="Times New Roman" w:eastAsia="Times New Roman" w:hAnsi="Times New Roman" w:cs="Times New Roman"/>
          <w:i/>
          <w:iCs/>
          <w:noProof/>
          <w:sz w:val="28"/>
          <w:szCs w:val="28"/>
          <w:vertAlign w:val="subscript"/>
          <w:lang w:eastAsia="uk-UA"/>
        </w:rPr>
        <w:t>frag</w:t>
      </w:r>
      <w:r w:rsidR="00300D7D" w:rsidRPr="00300D7D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>)</w:t>
      </w:r>
      <w:r w:rsidRPr="003873D2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 xml:space="preserve">. Розрахунок для м. Берегове дав значення </w:t>
      </w:r>
      <w:r w:rsidRPr="00300D7D">
        <w:rPr>
          <w:rFonts w:ascii="Times New Roman" w:eastAsia="Times New Roman" w:hAnsi="Times New Roman" w:cs="Times New Roman"/>
          <w:i/>
          <w:iCs/>
          <w:noProof/>
          <w:sz w:val="28"/>
          <w:szCs w:val="28"/>
          <w:lang w:eastAsia="uk-UA"/>
        </w:rPr>
        <w:t>I</w:t>
      </w:r>
      <w:r w:rsidRPr="00300D7D">
        <w:rPr>
          <w:rFonts w:ascii="Times New Roman" w:eastAsia="Times New Roman" w:hAnsi="Times New Roman" w:cs="Times New Roman"/>
          <w:i/>
          <w:iCs/>
          <w:noProof/>
          <w:sz w:val="28"/>
          <w:szCs w:val="28"/>
          <w:vertAlign w:val="subscript"/>
          <w:lang w:eastAsia="uk-UA"/>
        </w:rPr>
        <w:t>EEM</w:t>
      </w:r>
      <w:r w:rsidRPr="003873D2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 xml:space="preserve"> = 0,28 (28%), що класифікує стан екомережі як незадовільний і вказує на першочергову необхідність створення екологічних коридорів (програма «Квітуча межа») та впровадження екологічного освітлення за принципом «темного неба».</w:t>
      </w:r>
    </w:p>
    <w:p w14:paraId="309994B8" w14:textId="5C0BA2D3" w:rsidR="003873D2" w:rsidRPr="003873D2" w:rsidRDefault="003873D2" w:rsidP="003873D2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</w:pPr>
      <w:r w:rsidRPr="003873D2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uk-UA"/>
        </w:rPr>
        <w:t>Висновок.</w:t>
      </w:r>
      <w:r w:rsidRPr="003873D2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 xml:space="preserve"> У результаті дослідження встановлено, що лісопаркова зона Берегового підтримує значно багатшу ентомофауну з чітким розподілом на денні та нічні угруповання, тоді як агроценоз є спрощеним середовищем із </w:t>
      </w:r>
      <w:r w:rsidRPr="003873D2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lastRenderedPageBreak/>
        <w:t xml:space="preserve">домінуванням денних шкідників. Структурна складність лісопарку (багатоярусність, тінь, валежник) формує стабільний мікроклімат, що виступає буфером проти спеки, посухи та вітру, створюючи умови для існування навіть рідкісних видів, зокрема </w:t>
      </w:r>
      <w:r w:rsidRPr="00300D7D">
        <w:rPr>
          <w:rFonts w:ascii="Times New Roman" w:eastAsia="Times New Roman" w:hAnsi="Times New Roman" w:cs="Times New Roman"/>
          <w:i/>
          <w:iCs/>
          <w:noProof/>
          <w:sz w:val="28"/>
          <w:szCs w:val="28"/>
          <w:lang w:eastAsia="uk-UA"/>
        </w:rPr>
        <w:t>Formica sanguinea</w:t>
      </w:r>
      <w:r w:rsidRPr="003873D2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>. Антропогенне світлове забруднення є серйозною загрозою для нічних комах, спричиняючи їх масову дезорієнтацію та загибель. Опитування мешканців виявило розрив між науковими знаннями та побутовим сприйняттям комах, а також зафіксувало суб’єктивні свідчення про скорочення чисельності метеликів та бджіл за останнє десятиліття. Розроблена кількісна модель (</w:t>
      </w:r>
      <w:r w:rsidRPr="00300D7D">
        <w:rPr>
          <w:rFonts w:ascii="Times New Roman" w:eastAsia="Times New Roman" w:hAnsi="Times New Roman" w:cs="Times New Roman"/>
          <w:i/>
          <w:iCs/>
          <w:noProof/>
          <w:sz w:val="28"/>
          <w:szCs w:val="28"/>
          <w:lang w:eastAsia="uk-UA"/>
        </w:rPr>
        <w:t>I</w:t>
      </w:r>
      <w:r w:rsidRPr="00300D7D">
        <w:rPr>
          <w:rFonts w:ascii="Times New Roman" w:eastAsia="Times New Roman" w:hAnsi="Times New Roman" w:cs="Times New Roman"/>
          <w:i/>
          <w:iCs/>
          <w:noProof/>
          <w:sz w:val="28"/>
          <w:szCs w:val="28"/>
          <w:vertAlign w:val="subscript"/>
          <w:lang w:eastAsia="uk-UA"/>
        </w:rPr>
        <w:t>EEM</w:t>
      </w:r>
      <w:r w:rsidRPr="003873D2">
        <w:rPr>
          <w:rFonts w:ascii="Times New Roman" w:eastAsia="Times New Roman" w:hAnsi="Times New Roman" w:cs="Times New Roman"/>
          <w:noProof/>
          <w:sz w:val="28"/>
          <w:szCs w:val="28"/>
          <w:lang w:eastAsia="uk-UA"/>
        </w:rPr>
        <w:t xml:space="preserve"> = 0,28) доводить, що найбільш критичними проблемами є фрагментація середовища та відсутність екологічних коридорів. Отже, для збереження ентомофауни необхідний комплексний підхід: створення квітучих буферних зон, заміна освітлення на екологічне (теплий спектр, екрановані плафони, вимкнення після 23:00), залишення невикошуваних ділянок у парку та активна просвіта громади через буклети, гуртки «Ентомологічний патруль» та громадський моніторинг.</w:t>
      </w:r>
    </w:p>
    <w:p w14:paraId="6F4A4028" w14:textId="19E30677" w:rsidR="003873D2" w:rsidRDefault="003873D2" w:rsidP="003873D2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</w:p>
    <w:p w14:paraId="63CB7C21" w14:textId="77777777" w:rsidR="003873D2" w:rsidRPr="003873D2" w:rsidRDefault="003873D2" w:rsidP="003873D2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uk-UA"/>
        </w:rPr>
      </w:pPr>
    </w:p>
    <w:p w14:paraId="0426A508" w14:textId="77777777" w:rsidR="00A20E40" w:rsidRDefault="00A20E40"/>
    <w:sectPr w:rsidR="00A20E40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44DF"/>
    <w:rsid w:val="00012FA9"/>
    <w:rsid w:val="001A4C06"/>
    <w:rsid w:val="00266EBB"/>
    <w:rsid w:val="002E6A3B"/>
    <w:rsid w:val="00300D7D"/>
    <w:rsid w:val="00320457"/>
    <w:rsid w:val="003873D2"/>
    <w:rsid w:val="003C3564"/>
    <w:rsid w:val="00572951"/>
    <w:rsid w:val="00625C05"/>
    <w:rsid w:val="006426D5"/>
    <w:rsid w:val="00741DF8"/>
    <w:rsid w:val="007D0E35"/>
    <w:rsid w:val="00926E17"/>
    <w:rsid w:val="009644DF"/>
    <w:rsid w:val="00A20E40"/>
    <w:rsid w:val="00BA33FB"/>
    <w:rsid w:val="00BF451B"/>
    <w:rsid w:val="00C228D3"/>
    <w:rsid w:val="00CB472E"/>
    <w:rsid w:val="00DC18CB"/>
    <w:rsid w:val="00FC2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A8FEDB"/>
  <w15:chartTrackingRefBased/>
  <w15:docId w15:val="{2FDD0EDC-E85C-4ED5-9987-7DF413508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3304</Words>
  <Characters>1884</Characters>
  <Application>Microsoft Office Word</Application>
  <DocSecurity>0</DocSecurity>
  <Lines>15</Lines>
  <Paragraphs>10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5178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Eduard Pukanych</cp:lastModifiedBy>
  <cp:revision>7</cp:revision>
  <dcterms:created xsi:type="dcterms:W3CDTF">2026-03-29T10:35:00Z</dcterms:created>
  <dcterms:modified xsi:type="dcterms:W3CDTF">2026-04-08T19:57:00Z</dcterms:modified>
</cp:coreProperties>
</file>