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5B8F1A0" w14:textId="77777777" w:rsidR="00645A27" w:rsidRDefault="002F761D">
      <w:pPr>
        <w:spacing w:after="120"/>
        <w:jc w:val="center"/>
      </w:pPr>
      <w:r>
        <w:rPr>
          <w:b/>
          <w:bCs/>
        </w:rPr>
        <w:t>Аналіз кривих обертання галактик як доказ існування темної матерії</w:t>
      </w:r>
    </w:p>
    <w:p w14:paraId="531A75F1" w14:textId="4630CE48" w:rsidR="00645A27" w:rsidRPr="00D96694" w:rsidRDefault="00D96694">
      <w:pPr>
        <w:jc w:val="center"/>
        <w:rPr>
          <w:b/>
          <w:i/>
          <w:iCs/>
        </w:rPr>
      </w:pPr>
      <w:r>
        <w:rPr>
          <w:b/>
          <w:i/>
          <w:iCs/>
        </w:rPr>
        <w:t>Мандрук Христина Юріївна</w:t>
      </w:r>
    </w:p>
    <w:p w14:paraId="596682C3" w14:textId="0B88AC38" w:rsidR="00D96694" w:rsidRPr="00D96694" w:rsidRDefault="00D96694">
      <w:pPr>
        <w:jc w:val="center"/>
        <w:rPr>
          <w:i/>
        </w:rPr>
      </w:pPr>
      <w:r>
        <w:rPr>
          <w:i/>
        </w:rPr>
        <w:t>Кременецький академічний ліцей ім. У. Самчука, 9 клас</w:t>
      </w:r>
    </w:p>
    <w:p w14:paraId="5770BB10" w14:textId="6019958F" w:rsidR="00645A27" w:rsidRDefault="00D96694">
      <w:pPr>
        <w:jc w:val="center"/>
      </w:pPr>
      <w:r>
        <w:rPr>
          <w:i/>
          <w:iCs/>
        </w:rPr>
        <w:t>Кременецька філія Тернопільського обласного комунального територіального відділення МАН України;</w:t>
      </w:r>
    </w:p>
    <w:p w14:paraId="1AC53B18" w14:textId="36C12345" w:rsidR="00645A27" w:rsidRPr="00D96694" w:rsidRDefault="002F761D" w:rsidP="00D96694">
      <w:pPr>
        <w:spacing w:after="160"/>
        <w:jc w:val="center"/>
        <w:rPr>
          <w:i/>
          <w:iCs/>
        </w:rPr>
      </w:pPr>
      <w:r>
        <w:rPr>
          <w:i/>
          <w:iCs/>
        </w:rPr>
        <w:t>Керівник:</w:t>
      </w:r>
      <w:r>
        <w:t xml:space="preserve"> </w:t>
      </w:r>
      <w:r>
        <w:rPr>
          <w:i/>
          <w:iCs/>
        </w:rPr>
        <w:t>Кулик Марія Володимирівна, учитель фізики Кременецького академічного ліцею імені У.Самчука</w:t>
      </w:r>
    </w:p>
    <w:p w14:paraId="1B78B8E0" w14:textId="6A0F24A0" w:rsidR="00645A27" w:rsidRDefault="002F761D">
      <w:pPr>
        <w:ind w:firstLine="720"/>
        <w:jc w:val="both"/>
      </w:pPr>
      <w:r>
        <w:rPr>
          <w:b/>
          <w:bCs/>
        </w:rPr>
        <w:t xml:space="preserve"> </w:t>
      </w:r>
      <w:r>
        <w:t>Пояснення руху зірок у галактиках є однією із ключових проблем для сучасної астрофізики․ Спостереження показують‚ ніби зорі на периферії спіральних галактик рухаються з швидкостями‚ істотно вищими‚ аніж передбачає ньютонівська механіка на основі лише видимої (баріонної) маси․ Ця розбіжність є системною; вона відтворюється для сотень галактик та не може бути пояснена через похибки вимірювань․ Гіпотеза темної матерії‚ речовини‚ яка не взаємодіє з електромагнітним випромінюванням‚ проявляється гравітаційно‚ на сьогодні є найбільш прийнятним поясненням для цього явища․ Темна матерія становить близько 27% загальної енергетичної густини у Всесвіті․ Її природа проте досі залишається нез'ясованою․</w:t>
      </w:r>
    </w:p>
    <w:p w14:paraId="015922D9" w14:textId="15201D66" w:rsidR="00645A27" w:rsidRDefault="002F761D">
      <w:pPr>
        <w:ind w:firstLine="720"/>
        <w:jc w:val="both"/>
      </w:pPr>
      <w:r>
        <w:rPr>
          <w:b/>
          <w:bCs/>
        </w:rPr>
        <w:t>Мета дослідження</w:t>
      </w:r>
      <w:r>
        <w:t xml:space="preserve"> є проведення аналізу кривих обертання галактик у межах локальної групи як доказу існування темної матерії. Визначення кількісного співвідношення між видимою масою та темною масою․ Розглянути теоретичні основи динаміки галактик‚ порівняти теоретично очікувані та спостережувані криві обертання․ Проаналізувати графіки кривих обертання для галактик локальної групи‚ розрахувати частку темної матерії для кожної з них і критично оцінити альтернативні теорії․</w:t>
      </w:r>
    </w:p>
    <w:p w14:paraId="5B633F5C" w14:textId="30EDE066" w:rsidR="00EB51EC" w:rsidRDefault="002F761D">
      <w:pPr>
        <w:ind w:firstLine="720"/>
        <w:jc w:val="both"/>
      </w:pPr>
      <w:r>
        <w:rPr>
          <w:b/>
          <w:bCs/>
        </w:rPr>
        <w:t>Об'єкт дослідження</w:t>
      </w:r>
      <w:r>
        <w:t xml:space="preserve">: спіральні галактики з локальної групи (Чумацький Шлях‚ Андромеда‚ Трикутник)․ </w:t>
      </w:r>
    </w:p>
    <w:p w14:paraId="539A9E85" w14:textId="760072F3" w:rsidR="00645A27" w:rsidRDefault="00EB51EC">
      <w:pPr>
        <w:ind w:firstLine="720"/>
        <w:jc w:val="both"/>
      </w:pPr>
      <w:r>
        <w:rPr>
          <w:b/>
        </w:rPr>
        <w:t xml:space="preserve">Предмет дослідження: </w:t>
      </w:r>
      <w:r>
        <w:t xml:space="preserve">криві обертання  галактик локальної групи.       </w:t>
      </w:r>
    </w:p>
    <w:p w14:paraId="279ED573" w14:textId="1BDF6C55" w:rsidR="00FC6C5B" w:rsidRDefault="002F761D">
      <w:pPr>
        <w:ind w:firstLine="720"/>
        <w:jc w:val="both"/>
      </w:pPr>
      <w:r>
        <w:rPr>
          <w:b/>
          <w:bCs/>
        </w:rPr>
        <w:lastRenderedPageBreak/>
        <w:t xml:space="preserve">Теоретична частина. </w:t>
      </w:r>
      <w:r>
        <w:t xml:space="preserve">Швидкість орбіти зорі на відстані </w:t>
      </w:r>
      <w:r>
        <w:rPr>
          <w:b/>
        </w:rPr>
        <w:t>r</w:t>
      </w:r>
      <w:r>
        <w:t xml:space="preserve"> від центра галактики визначається виразом </w:t>
      </w:r>
      <m:oMath>
        <m:r>
          <w:rPr>
            <w:rFonts w:ascii="Cambria Math" w:hAnsi="Cambria Math"/>
          </w:rPr>
          <m:t xml:space="preserve">v = </m:t>
        </m:r>
        <m:rad>
          <m:radPr>
            <m:degHide m:val="1"/>
            <m:ctrlPr>
              <w:rPr>
                <w:rFonts w:ascii="Cambria Math" w:hAnsi="Cambria Math"/>
                <w:i/>
              </w:rPr>
            </m:ctrlPr>
          </m:radPr>
          <m:deg/>
          <m:e>
            <m:r>
              <w:rPr>
                <w:rFonts w:ascii="Cambria Math" w:hAnsi="Cambria Math"/>
              </w:rPr>
              <m:t>(GM/r</m:t>
            </m:r>
          </m:e>
        </m:rad>
      </m:oMath>
      <w:r>
        <w:t>․ Подібно до Сонячної системи‚ у котрій маса сконцентрована в центрі‚ на значних відстанях від ядра галактики швидкість має спадати. Американська астрофізик Віра Рубін разом із Кентом Фордом довела плоску форму кривих обертання для 21 галактики‚ тим самим ставши вирішальним спостережним аргументом на користь темної матерії․</w:t>
      </w:r>
    </w:p>
    <w:p w14:paraId="5A850145" w14:textId="121B0D2A" w:rsidR="00FC6C5B" w:rsidRDefault="002F761D" w:rsidP="00FC6C5B">
      <w:pPr>
        <w:ind w:firstLine="720"/>
        <w:jc w:val="both"/>
      </w:pPr>
      <w:r>
        <w:rPr>
          <w:b/>
          <w:bCs/>
        </w:rPr>
        <w:t xml:space="preserve">Експериментальна частина. </w:t>
      </w:r>
      <w:r>
        <w:t>Дані для трьох галактик локальної групи зібрано самостійно․ Їх порівняно на основі аналізу графіків кривих обертання з наукових публікацій‚ а також відкритих баз даних NASA/IPAC. Для кожної виявлено ділянку на початку зростання швидкості‚ точку переходу до «плато» та встановлено відстань‚ починаючи від якої реальна крива відхиляється від теоретичного кеплерівського профілю․ На підставі порівняння було складено зведену таблицю: Чумацький Шлях ‚ це плоска крива в діапазоні від 5 до 60 кп</w:t>
      </w:r>
      <w:r>
        <w:rPr>
          <w:lang w:val="en-US"/>
        </w:rPr>
        <w:t>c</w:t>
      </w:r>
      <w:r>
        <w:t>‚ швидкість становить приблизно 220- 240 км/с‚ динамічна маса перевищує видиму приблизно у 7 разів; Андромеда (M31) ‚ це плоска ділянка аж до приблизно 35 кп</w:t>
      </w:r>
      <w:r>
        <w:rPr>
          <w:lang w:val="en-US"/>
        </w:rPr>
        <w:t>c</w:t>
      </w:r>
      <w:r>
        <w:t>‚ перевищення приблизно у 8 разів; Трикутник (M33)‚ це плоска крива аж до приблизно 15 кп</w:t>
      </w:r>
      <w:r>
        <w:rPr>
          <w:lang w:val="en-US"/>
        </w:rPr>
        <w:t>c</w:t>
      </w:r>
      <w:r>
        <w:t>‚ перевищення приблизно у 5 разів․ Аналіз дослідження показав, що незважаючи на різні розміри галактик‚ ефект плоскої кривої є спільним для всіх трьох, частка темної матерії становить 80-90% загальної маси кожної з них․ Додатково піддано критичній оцінці модель MOND. Вона описує окремі криві обертання‚ проте не пояснює динаміку скупчень та структуру реліктового фону без додаткових припущень․</w:t>
      </w:r>
    </w:p>
    <w:p w14:paraId="1132B842" w14:textId="77777777" w:rsidR="00775A83" w:rsidRDefault="002F761D" w:rsidP="00FC6C5B">
      <w:pPr>
        <w:ind w:firstLine="720"/>
        <w:jc w:val="both"/>
        <w:rPr>
          <w:b/>
          <w:bCs/>
        </w:rPr>
      </w:pPr>
      <w:r>
        <w:rPr>
          <w:b/>
          <w:bCs/>
        </w:rPr>
        <w:t xml:space="preserve">Висновки </w:t>
      </w:r>
    </w:p>
    <w:p w14:paraId="068A3C47" w14:textId="40A77B8C" w:rsidR="00775A83" w:rsidRDefault="00FC6C5B" w:rsidP="00FC6C5B">
      <w:pPr>
        <w:ind w:firstLine="720"/>
        <w:jc w:val="both"/>
      </w:pPr>
      <w:r>
        <w:t>1․ Реальні спостереження демонструють плоскі криві обертання у всіх трьох досліджених галактик локальної групи‚ що суперечить теоретичному кеплерівському прогнозу․</w:t>
      </w:r>
    </w:p>
    <w:p w14:paraId="5C42D767" w14:textId="597E3B36" w:rsidR="00775A83" w:rsidRDefault="00FC6C5B" w:rsidP="00FC6C5B">
      <w:pPr>
        <w:ind w:firstLine="720"/>
        <w:jc w:val="both"/>
      </w:pPr>
      <w:r>
        <w:lastRenderedPageBreak/>
        <w:t xml:space="preserve"> 2․ Графіки порівняльного аналізу виявили перевищення динамічної маси над видимою у 5-8 разів у кожній галактиці․ Це кількісне підтвердження наявності масивного темного гало․ </w:t>
      </w:r>
    </w:p>
    <w:p w14:paraId="1A327DDE" w14:textId="7C8C9663" w:rsidR="00775A83" w:rsidRDefault="00FC6C5B" w:rsidP="00FC6C5B">
      <w:pPr>
        <w:ind w:firstLine="720"/>
        <w:jc w:val="both"/>
      </w:pPr>
      <w:r>
        <w:t>3․ Здійснено аналіз графіків кривих обертання‚ а також порівнянні трьох галактик локальної групи в межах єдиної методологічної рамки й у складанні зведеної таблиці «дефіциту маси»․</w:t>
      </w:r>
    </w:p>
    <w:p w14:paraId="0F922181" w14:textId="1B08A7E3" w:rsidR="00127787" w:rsidRDefault="00FC6C5B" w:rsidP="00127787">
      <w:pPr>
        <w:ind w:firstLine="709"/>
        <w:jc w:val="both"/>
      </w:pPr>
      <w:r>
        <w:t xml:space="preserve">4․ Новизна роботи полягає в систематичному зіставленні галактик локальної групи із кількісною оцінкою частки темної матерії для кожної․ </w:t>
      </w:r>
    </w:p>
    <w:p w14:paraId="20EBAC7C" w14:textId="48235C20" w:rsidR="00645A27" w:rsidRDefault="00FC6C5B" w:rsidP="00127787">
      <w:pPr>
        <w:ind w:firstLine="709"/>
        <w:jc w:val="both"/>
      </w:pPr>
      <w:r>
        <w:t>5․ Темна матерія залишається єдиним шляхом‚ котрий узгоджено пояснює всю сукупність спостережуваних ефектів․</w:t>
      </w:r>
    </w:p>
    <w:p w14:paraId="0C44D47D" w14:textId="77777777" w:rsidR="00645A27" w:rsidRDefault="002F761D">
      <w:pPr>
        <w:spacing w:before="100" w:after="40"/>
        <w:jc w:val="center"/>
      </w:pPr>
      <w:r>
        <w:rPr>
          <w:b/>
          <w:bCs/>
        </w:rPr>
        <w:t>Список використаних джерел</w:t>
      </w:r>
    </w:p>
    <w:p w14:paraId="479875CF" w14:textId="77777777" w:rsidR="00645A27" w:rsidRDefault="002F761D">
      <w:pPr>
        <w:ind w:firstLine="720"/>
        <w:jc w:val="both"/>
      </w:pPr>
      <w:r>
        <w:t>1. Bhattacharjee P., Chaudhury S., Kundu S. Крива обертання Чумацького Шляху до ~200 кпс. The Astrophysical Journal. 2014. Vol. 785(1), 63.</w:t>
      </w:r>
    </w:p>
    <w:p w14:paraId="3EEC5B18" w14:textId="77777777" w:rsidR="00645A27" w:rsidRDefault="002F761D">
      <w:pPr>
        <w:ind w:firstLine="720"/>
        <w:jc w:val="both"/>
      </w:pPr>
      <w:r>
        <w:t>2. Milgrom M. Модифікація ньютонівської динаміки. The Astrophysical Journal. 1983. Vol. 270, pp. 365–370.</w:t>
      </w:r>
    </w:p>
    <w:p w14:paraId="0C6F79D8" w14:textId="77777777" w:rsidR="00645A27" w:rsidRDefault="002F761D">
      <w:pPr>
        <w:ind w:firstLine="720"/>
        <w:jc w:val="both"/>
      </w:pPr>
      <w:r>
        <w:t>3. Planck Collaboration. Результати Planck 2018. VI. Космологічні параметри. Astronomy &amp; Astrophysics. 2020. Vol. 641, A6.</w:t>
      </w:r>
    </w:p>
    <w:p w14:paraId="2BA209F1" w14:textId="77777777" w:rsidR="00645A27" w:rsidRDefault="002F761D">
      <w:pPr>
        <w:ind w:firstLine="720"/>
        <w:jc w:val="both"/>
      </w:pPr>
      <w:r>
        <w:t>4. Rubin V. C., Ford W. K., Thonnard N. Властивості обертання 21 спіральної галактики типу SC. The Astrophysical Journal. 1980. Vol. 238, pp. 471–487.</w:t>
      </w:r>
    </w:p>
    <w:p w14:paraId="03643E6B" w14:textId="46890DA5" w:rsidR="00645A27" w:rsidRDefault="00D669F7">
      <w:pPr>
        <w:ind w:firstLine="720"/>
        <w:jc w:val="both"/>
      </w:pPr>
      <w:r>
        <w:t>5</w:t>
      </w:r>
      <w:r w:rsidR="00127787" w:rsidRPr="00D669F7">
        <w:t xml:space="preserve">. </w:t>
      </w:r>
      <w:proofErr w:type="spellStart"/>
      <w:r w:rsidR="00127787">
        <w:rPr>
          <w:lang w:val="en-US"/>
        </w:rPr>
        <w:t>Corbelli</w:t>
      </w:r>
      <w:proofErr w:type="spellEnd"/>
      <w:r w:rsidR="00127787" w:rsidRPr="00D669F7">
        <w:t xml:space="preserve"> </w:t>
      </w:r>
      <w:r w:rsidR="00127787">
        <w:rPr>
          <w:lang w:val="en-US"/>
        </w:rPr>
        <w:t>E</w:t>
      </w:r>
      <w:r w:rsidR="00127787" w:rsidRPr="00D669F7">
        <w:t xml:space="preserve">., </w:t>
      </w:r>
      <w:proofErr w:type="spellStart"/>
      <w:r w:rsidR="00127787">
        <w:rPr>
          <w:lang w:val="en-US"/>
        </w:rPr>
        <w:t>Salucci</w:t>
      </w:r>
      <w:proofErr w:type="spellEnd"/>
      <w:r w:rsidR="00127787" w:rsidRPr="00D669F7">
        <w:t xml:space="preserve"> </w:t>
      </w:r>
      <w:r w:rsidR="00127787">
        <w:rPr>
          <w:lang w:val="en-US"/>
        </w:rPr>
        <w:t>P</w:t>
      </w:r>
      <w:r w:rsidR="00127787" w:rsidRPr="00D669F7">
        <w:t xml:space="preserve">. Розширена крива обертання та гало темної матерії </w:t>
      </w:r>
      <w:r w:rsidR="00127787">
        <w:rPr>
          <w:lang w:val="en-US"/>
        </w:rPr>
        <w:t>M</w:t>
      </w:r>
      <w:r w:rsidR="00127787" w:rsidRPr="00D669F7">
        <w:t xml:space="preserve">33. </w:t>
      </w:r>
      <w:r w:rsidR="00127787">
        <w:rPr>
          <w:lang w:val="en-US"/>
        </w:rPr>
        <w:t>Monthly Notices of the Royal Astronomical Society. 2000. Vol. 311(2), pp. 441–447.</w:t>
      </w:r>
    </w:p>
    <w:p w14:paraId="04643E6B" w14:textId="4A754E3A" w:rsidR="00645A27" w:rsidRDefault="00D669F7">
      <w:pPr>
        <w:ind w:firstLine="720"/>
        <w:jc w:val="both"/>
      </w:pPr>
      <w:r>
        <w:rPr>
          <w:lang w:val="en-US"/>
        </w:rPr>
        <w:t>6</w:t>
      </w:r>
      <w:r w:rsidR="00127787">
        <w:rPr>
          <w:lang w:val="en-US"/>
        </w:rPr>
        <w:t xml:space="preserve">. Hammer F. та ін. </w:t>
      </w:r>
      <w:proofErr w:type="spellStart"/>
      <w:r w:rsidR="00127787" w:rsidRPr="00D669F7">
        <w:rPr>
          <w:lang w:val="ru-RU"/>
        </w:rPr>
        <w:t>Частка</w:t>
      </w:r>
      <w:proofErr w:type="spellEnd"/>
      <w:r w:rsidR="00127787" w:rsidRPr="00D669F7">
        <w:rPr>
          <w:lang w:val="ru-RU"/>
        </w:rPr>
        <w:t xml:space="preserve"> </w:t>
      </w:r>
      <w:proofErr w:type="spellStart"/>
      <w:r w:rsidR="00127787" w:rsidRPr="00D669F7">
        <w:rPr>
          <w:lang w:val="ru-RU"/>
        </w:rPr>
        <w:t>темної</w:t>
      </w:r>
      <w:proofErr w:type="spellEnd"/>
      <w:r w:rsidR="00127787" w:rsidRPr="00D669F7">
        <w:rPr>
          <w:lang w:val="ru-RU"/>
        </w:rPr>
        <w:t xml:space="preserve"> </w:t>
      </w:r>
      <w:proofErr w:type="spellStart"/>
      <w:r w:rsidR="00127787" w:rsidRPr="00D669F7">
        <w:rPr>
          <w:lang w:val="ru-RU"/>
        </w:rPr>
        <w:t>матерії</w:t>
      </w:r>
      <w:proofErr w:type="spellEnd"/>
      <w:r w:rsidR="00127787" w:rsidRPr="00D669F7">
        <w:rPr>
          <w:lang w:val="ru-RU"/>
        </w:rPr>
        <w:t xml:space="preserve">, </w:t>
      </w:r>
      <w:proofErr w:type="spellStart"/>
      <w:r w:rsidR="00127787" w:rsidRPr="00D669F7">
        <w:rPr>
          <w:lang w:val="ru-RU"/>
        </w:rPr>
        <w:t>визначена</w:t>
      </w:r>
      <w:proofErr w:type="spellEnd"/>
      <w:r w:rsidR="00127787" w:rsidRPr="00D669F7">
        <w:rPr>
          <w:lang w:val="ru-RU"/>
        </w:rPr>
        <w:t xml:space="preserve"> з </w:t>
      </w:r>
      <w:proofErr w:type="spellStart"/>
      <w:r w:rsidR="00127787" w:rsidRPr="00D669F7">
        <w:rPr>
          <w:lang w:val="ru-RU"/>
        </w:rPr>
        <w:t>кривої</w:t>
      </w:r>
      <w:proofErr w:type="spellEnd"/>
      <w:r w:rsidR="00127787" w:rsidRPr="00D669F7">
        <w:rPr>
          <w:lang w:val="ru-RU"/>
        </w:rPr>
        <w:t xml:space="preserve"> </w:t>
      </w:r>
      <w:proofErr w:type="spellStart"/>
      <w:r w:rsidR="00127787" w:rsidRPr="00D669F7">
        <w:rPr>
          <w:lang w:val="ru-RU"/>
        </w:rPr>
        <w:t>обертання</w:t>
      </w:r>
      <w:proofErr w:type="spellEnd"/>
      <w:r w:rsidR="00127787" w:rsidRPr="00D669F7">
        <w:rPr>
          <w:lang w:val="ru-RU"/>
        </w:rPr>
        <w:t xml:space="preserve"> </w:t>
      </w:r>
      <w:r w:rsidR="00127787">
        <w:rPr>
          <w:lang w:val="en-US"/>
        </w:rPr>
        <w:t>M</w:t>
      </w:r>
      <w:r w:rsidR="00127787" w:rsidRPr="00D669F7">
        <w:rPr>
          <w:lang w:val="ru-RU"/>
        </w:rPr>
        <w:t xml:space="preserve">31. </w:t>
      </w:r>
      <w:r w:rsidR="00127787">
        <w:rPr>
          <w:lang w:val="en-US"/>
        </w:rPr>
        <w:t>Astronomy</w:t>
      </w:r>
      <w:r w:rsidR="00127787" w:rsidRPr="00D669F7">
        <w:rPr>
          <w:lang w:val="ru-RU"/>
        </w:rPr>
        <w:t xml:space="preserve"> &amp; </w:t>
      </w:r>
      <w:r w:rsidR="00127787">
        <w:rPr>
          <w:lang w:val="en-US"/>
        </w:rPr>
        <w:t>Astrophysics</w:t>
      </w:r>
      <w:r w:rsidR="00127787" w:rsidRPr="00D669F7">
        <w:rPr>
          <w:lang w:val="ru-RU"/>
        </w:rPr>
        <w:t xml:space="preserve">. 2025. </w:t>
      </w:r>
      <w:r w:rsidR="00127787">
        <w:rPr>
          <w:lang w:val="en-US"/>
        </w:rPr>
        <w:t>Vol</w:t>
      </w:r>
      <w:r w:rsidR="00127787" w:rsidRPr="00D669F7">
        <w:rPr>
          <w:lang w:val="ru-RU"/>
        </w:rPr>
        <w:t xml:space="preserve">. 694, </w:t>
      </w:r>
      <w:r w:rsidR="00127787">
        <w:rPr>
          <w:lang w:val="en-US"/>
        </w:rPr>
        <w:t>A</w:t>
      </w:r>
      <w:r w:rsidR="00127787" w:rsidRPr="00D669F7">
        <w:rPr>
          <w:lang w:val="ru-RU"/>
        </w:rPr>
        <w:t>289.</w:t>
      </w:r>
    </w:p>
    <w:p w14:paraId="07643E6B" w14:textId="1146F0F2" w:rsidR="00645A27" w:rsidRDefault="00645A27">
      <w:pPr>
        <w:ind w:firstLine="720"/>
        <w:jc w:val="both"/>
      </w:pPr>
      <w:bookmarkStart w:id="0" w:name="_GoBack"/>
      <w:bookmarkEnd w:id="0"/>
    </w:p>
    <w:sectPr w:rsidR="00645A27" w:rsidSect="00D96694">
      <w:pgSz w:w="11906" w:h="16838"/>
      <w:pgMar w:top="709" w:right="1080" w:bottom="1440" w:left="180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Cambria Math">
    <w:panose1 w:val="00000000000000000000"/>
    <w:charset w:val="CC"/>
    <w:family w:val="roman"/>
    <w:pitch w:val="variable"/>
    <w:sig w:usb0="E00002FF" w:usb1="420024FF" w:usb2="00000000" w:usb3="00000000" w:csb0="000001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0B45F70"/>
    <w:multiLevelType w:val="hybridMultilevel"/>
    <w:tmpl w:val="CA4AEBD0"/>
    <w:lvl w:ilvl="0" w:tplc="2FFC5078">
      <w:start w:val="1"/>
      <w:numFmt w:val="bullet"/>
      <w:lvlText w:val="●"/>
      <w:lvlJc w:val="left"/>
      <w:pPr>
        <w:ind w:left="720" w:hanging="360"/>
      </w:pPr>
    </w:lvl>
    <w:lvl w:ilvl="1" w:tplc="85382356">
      <w:start w:val="1"/>
      <w:numFmt w:val="bullet"/>
      <w:lvlText w:val="○"/>
      <w:lvlJc w:val="left"/>
      <w:pPr>
        <w:ind w:left="1440" w:hanging="360"/>
      </w:pPr>
    </w:lvl>
    <w:lvl w:ilvl="2" w:tplc="DFEAA964">
      <w:start w:val="1"/>
      <w:numFmt w:val="bullet"/>
      <w:lvlText w:val="■"/>
      <w:lvlJc w:val="left"/>
      <w:pPr>
        <w:ind w:left="2160" w:hanging="360"/>
      </w:pPr>
    </w:lvl>
    <w:lvl w:ilvl="3" w:tplc="DF36B156">
      <w:start w:val="1"/>
      <w:numFmt w:val="bullet"/>
      <w:lvlText w:val="●"/>
      <w:lvlJc w:val="left"/>
      <w:pPr>
        <w:ind w:left="2880" w:hanging="360"/>
      </w:pPr>
    </w:lvl>
    <w:lvl w:ilvl="4" w:tplc="B2A0318E">
      <w:start w:val="1"/>
      <w:numFmt w:val="bullet"/>
      <w:lvlText w:val="○"/>
      <w:lvlJc w:val="left"/>
      <w:pPr>
        <w:ind w:left="3600" w:hanging="360"/>
      </w:pPr>
    </w:lvl>
    <w:lvl w:ilvl="5" w:tplc="735AAB76">
      <w:start w:val="1"/>
      <w:numFmt w:val="bullet"/>
      <w:lvlText w:val="■"/>
      <w:lvlJc w:val="left"/>
      <w:pPr>
        <w:ind w:left="4320" w:hanging="360"/>
      </w:pPr>
    </w:lvl>
    <w:lvl w:ilvl="6" w:tplc="4C14081A">
      <w:start w:val="1"/>
      <w:numFmt w:val="bullet"/>
      <w:lvlText w:val="●"/>
      <w:lvlJc w:val="left"/>
      <w:pPr>
        <w:ind w:left="5040" w:hanging="360"/>
      </w:pPr>
    </w:lvl>
    <w:lvl w:ilvl="7" w:tplc="25AA78DC">
      <w:start w:val="1"/>
      <w:numFmt w:val="bullet"/>
      <w:lvlText w:val="●"/>
      <w:lvlJc w:val="left"/>
      <w:pPr>
        <w:ind w:left="5760" w:hanging="360"/>
      </w:pPr>
    </w:lvl>
    <w:lvl w:ilvl="8" w:tplc="0FCC7236">
      <w:start w:val="1"/>
      <w:numFmt w:val="bullet"/>
      <w:lvlText w:val="●"/>
      <w:lvlJc w:val="left"/>
      <w:pPr>
        <w:ind w:left="6480" w:hanging="360"/>
      </w:pPr>
    </w:lvl>
  </w:abstractNum>
  <w:num w:numId="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isplayBackgroundShape/>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45A27"/>
    <w:rsid w:val="0005293F"/>
    <w:rsid w:val="00127787"/>
    <w:rsid w:val="00160764"/>
    <w:rsid w:val="002F761D"/>
    <w:rsid w:val="00374797"/>
    <w:rsid w:val="00554B61"/>
    <w:rsid w:val="00645A27"/>
    <w:rsid w:val="00775A83"/>
    <w:rsid w:val="008D54C9"/>
    <w:rsid w:val="00A66805"/>
    <w:rsid w:val="00A867C7"/>
    <w:rsid w:val="00CC4A95"/>
    <w:rsid w:val="00D669F7"/>
    <w:rsid w:val="00D96694"/>
    <w:rsid w:val="00E10DA0"/>
    <w:rsid w:val="00EB4B4B"/>
    <w:rsid w:val="00EB51EC"/>
    <w:rsid w:val="00FC6C5B"/>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5F0799"/>
  <w15:docId w15:val="{56ED8CA8-6C0F-4B8B-AA30-12D2F3923C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8"/>
        <w:szCs w:val="28"/>
        <w:lang w:val="uk-UA" w:eastAsia="uk-UA" w:bidi="ar-SA"/>
      </w:rPr>
    </w:rPrDefault>
    <w:pPrDefault>
      <w:pPr>
        <w:spacing w:line="36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uiPriority w:val="9"/>
    <w:qFormat/>
    <w:pPr>
      <w:outlineLvl w:val="0"/>
    </w:pPr>
    <w:rPr>
      <w:color w:val="2E74B5"/>
      <w:sz w:val="32"/>
      <w:szCs w:val="32"/>
    </w:rPr>
  </w:style>
  <w:style w:type="paragraph" w:styleId="2">
    <w:name w:val="heading 2"/>
    <w:uiPriority w:val="9"/>
    <w:semiHidden/>
    <w:unhideWhenUsed/>
    <w:qFormat/>
    <w:pPr>
      <w:outlineLvl w:val="1"/>
    </w:pPr>
    <w:rPr>
      <w:color w:val="2E74B5"/>
      <w:sz w:val="26"/>
      <w:szCs w:val="26"/>
    </w:rPr>
  </w:style>
  <w:style w:type="paragraph" w:styleId="3">
    <w:name w:val="heading 3"/>
    <w:uiPriority w:val="9"/>
    <w:semiHidden/>
    <w:unhideWhenUsed/>
    <w:qFormat/>
    <w:pPr>
      <w:outlineLvl w:val="2"/>
    </w:pPr>
    <w:rPr>
      <w:color w:val="1F4D78"/>
      <w:sz w:val="24"/>
      <w:szCs w:val="24"/>
    </w:rPr>
  </w:style>
  <w:style w:type="paragraph" w:styleId="4">
    <w:name w:val="heading 4"/>
    <w:uiPriority w:val="9"/>
    <w:semiHidden/>
    <w:unhideWhenUsed/>
    <w:qFormat/>
    <w:pPr>
      <w:outlineLvl w:val="3"/>
    </w:pPr>
    <w:rPr>
      <w:i/>
      <w:iCs/>
      <w:color w:val="2E74B5"/>
    </w:rPr>
  </w:style>
  <w:style w:type="paragraph" w:styleId="5">
    <w:name w:val="heading 5"/>
    <w:uiPriority w:val="9"/>
    <w:semiHidden/>
    <w:unhideWhenUsed/>
    <w:qFormat/>
    <w:pPr>
      <w:outlineLvl w:val="4"/>
    </w:pPr>
    <w:rPr>
      <w:color w:val="2E74B5"/>
    </w:rPr>
  </w:style>
  <w:style w:type="paragraph" w:styleId="6">
    <w:name w:val="heading 6"/>
    <w:uiPriority w:val="9"/>
    <w:semiHidden/>
    <w:unhideWhenUsed/>
    <w:qFormat/>
    <w:pPr>
      <w:outlineLvl w:val="5"/>
    </w:pPr>
    <w:rPr>
      <w:color w:val="1F4D7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uiPriority w:val="10"/>
    <w:qFormat/>
    <w:rPr>
      <w:sz w:val="56"/>
      <w:szCs w:val="56"/>
    </w:rPr>
  </w:style>
  <w:style w:type="paragraph" w:customStyle="1" w:styleId="10">
    <w:name w:val="Строгий1"/>
    <w:qFormat/>
    <w:rPr>
      <w:b/>
      <w:bCs/>
    </w:rPr>
  </w:style>
  <w:style w:type="paragraph" w:styleId="a4">
    <w:name w:val="List Paragraph"/>
    <w:qFormat/>
  </w:style>
  <w:style w:type="character" w:styleId="a5">
    <w:name w:val="Hyperlink"/>
    <w:uiPriority w:val="99"/>
    <w:unhideWhenUsed/>
    <w:rPr>
      <w:color w:val="0563C1"/>
      <w:u w:val="single"/>
    </w:rPr>
  </w:style>
  <w:style w:type="character" w:styleId="a6">
    <w:name w:val="footnote reference"/>
    <w:uiPriority w:val="99"/>
    <w:semiHidden/>
    <w:unhideWhenUsed/>
    <w:rPr>
      <w:vertAlign w:val="superscript"/>
    </w:rPr>
  </w:style>
  <w:style w:type="paragraph" w:styleId="a7">
    <w:name w:val="footnote text"/>
    <w:link w:val="a8"/>
    <w:uiPriority w:val="99"/>
    <w:semiHidden/>
    <w:unhideWhenUsed/>
    <w:pPr>
      <w:spacing w:line="240" w:lineRule="auto"/>
    </w:pPr>
    <w:rPr>
      <w:sz w:val="20"/>
      <w:szCs w:val="20"/>
    </w:rPr>
  </w:style>
  <w:style w:type="character" w:customStyle="1" w:styleId="a8">
    <w:name w:val="Текст сноски Знак"/>
    <w:link w:val="a7"/>
    <w:uiPriority w:val="99"/>
    <w:semiHidden/>
    <w:unhideWhenUsed/>
    <w:rPr>
      <w:sz w:val="20"/>
      <w:szCs w:val="20"/>
    </w:rPr>
  </w:style>
  <w:style w:type="character" w:styleId="a9">
    <w:name w:val="endnote reference"/>
    <w:uiPriority w:val="99"/>
    <w:semiHidden/>
    <w:unhideWhenUsed/>
    <w:rPr>
      <w:vertAlign w:val="superscript"/>
    </w:rPr>
  </w:style>
  <w:style w:type="paragraph" w:styleId="aa">
    <w:name w:val="endnote text"/>
    <w:link w:val="ab"/>
    <w:uiPriority w:val="99"/>
    <w:semiHidden/>
    <w:unhideWhenUsed/>
    <w:pPr>
      <w:spacing w:line="240" w:lineRule="auto"/>
    </w:pPr>
    <w:rPr>
      <w:sz w:val="20"/>
      <w:szCs w:val="20"/>
    </w:rPr>
  </w:style>
  <w:style w:type="character" w:customStyle="1" w:styleId="ab">
    <w:name w:val="Текст концевой сноски Знак"/>
    <w:link w:val="aa"/>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Стандартная">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3121</Words>
  <Characters>1780</Characters>
  <Application>Microsoft Office Word</Application>
  <DocSecurity>0</DocSecurity>
  <Lines>14</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Мама</cp:lastModifiedBy>
  <cp:revision>2</cp:revision>
  <dcterms:created xsi:type="dcterms:W3CDTF">2026-04-19T17:05:00Z</dcterms:created>
  <dcterms:modified xsi:type="dcterms:W3CDTF">2026-04-19T17:05:00Z</dcterms:modified>
</cp:coreProperties>
</file>