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4FD006">
      <w:pPr>
        <w:spacing w:line="360" w:lineRule="auto"/>
        <w:ind w:left="0" w:leftChars="0" w:right="0" w:rightChars="0" w:firstLine="0" w:firstLineChars="0"/>
        <w:jc w:val="center"/>
        <w:rPr>
          <w:rFonts w:hint="default" w:ascii="Times New Roman" w:hAnsi="Times New Roman" w:cs="Times New Roman"/>
          <w:sz w:val="28"/>
          <w:szCs w:val="28"/>
          <w:lang w:val="uk-UA"/>
        </w:rPr>
      </w:pPr>
      <w:r>
        <w:rPr>
          <w:rFonts w:hint="default" w:ascii="Times New Roman" w:hAnsi="Times New Roman" w:cs="Times New Roman"/>
          <w:b/>
          <w:bCs/>
          <w:sz w:val="28"/>
          <w:szCs w:val="28"/>
        </w:rPr>
        <w:t>Дослідження статистичної залежності між віком та діаметром метеоритних кратерів Землі</w:t>
      </w:r>
    </w:p>
    <w:p w14:paraId="0BEA7081">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p>
    <w:p w14:paraId="16D8703D">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Роботу виконала:</w:t>
      </w:r>
      <w:r>
        <w:rPr>
          <w:rFonts w:hint="default" w:ascii="Times New Roman" w:hAnsi="Times New Roman" w:cs="Times New Roman"/>
          <w:sz w:val="28"/>
          <w:szCs w:val="28"/>
          <w:lang w:val="uk-UA"/>
        </w:rPr>
        <w:t xml:space="preserve"> Лунячек Еліна Андріївна, учениця 7-А класу комунального закладу «Харківська гімназія № 110 Харківської міської ради», Харківське територіальне відділення МАН України.</w:t>
      </w:r>
    </w:p>
    <w:p w14:paraId="1DF6F33C">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lang w:val="uk-UA"/>
        </w:rPr>
      </w:pPr>
      <w:r>
        <w:rPr>
          <w:rFonts w:hint="default" w:ascii="Times New Roman" w:hAnsi="Times New Roman" w:cs="Times New Roman"/>
          <w:b/>
          <w:bCs/>
          <w:sz w:val="28"/>
          <w:szCs w:val="28"/>
          <w:lang w:val="uk-UA"/>
        </w:rPr>
        <w:t>Керівник:</w:t>
      </w:r>
      <w:r>
        <w:rPr>
          <w:rFonts w:hint="default" w:ascii="Times New Roman" w:hAnsi="Times New Roman" w:cs="Times New Roman"/>
          <w:sz w:val="28"/>
          <w:szCs w:val="28"/>
          <w:lang w:val="uk-UA"/>
        </w:rPr>
        <w:t xml:space="preserve"> Безродня Тетяна Іванівна, вчитель фізики ХГ № 110.</w:t>
      </w:r>
    </w:p>
    <w:p w14:paraId="56017F85">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p>
    <w:p w14:paraId="4D4C9B52">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rPr>
        <w:t xml:space="preserve">Вивчення метеоритних кратерів є важливим напрямом </w:t>
      </w:r>
      <w:r>
        <w:rPr>
          <w:rFonts w:hint="default" w:ascii="Times New Roman" w:hAnsi="Times New Roman" w:cs="Times New Roman"/>
          <w:sz w:val="28"/>
          <w:szCs w:val="28"/>
          <w:lang w:val="uk-UA"/>
        </w:rPr>
        <w:t xml:space="preserve">астрономії та </w:t>
      </w:r>
      <w:r>
        <w:rPr>
          <w:rFonts w:hint="default" w:ascii="Times New Roman" w:hAnsi="Times New Roman" w:cs="Times New Roman"/>
          <w:sz w:val="28"/>
          <w:szCs w:val="28"/>
        </w:rPr>
        <w:t>планетарної геології</w:t>
      </w:r>
      <w:r>
        <w:rPr>
          <w:rFonts w:hint="default" w:ascii="Times New Roman" w:hAnsi="Times New Roman" w:cs="Times New Roman"/>
          <w:sz w:val="28"/>
          <w:szCs w:val="28"/>
          <w:lang w:val="uk-UA"/>
        </w:rPr>
        <w:t>. Проте кількість виявлених на сьогодні астроблем на Землі значно менша за їхню прогнозовану кількість. Це пояснюється тим, що, на відміну від Місяця, де панує вакуум і відсутня геологічна активність, Земля є динамічною системою. Процеси руйнування гірських порід, відкладення осадів та тектонічні рухи постійно змінюють рельєф, приховуючи або повністю знищуючи сліди космічних зіткнень.</w:t>
      </w:r>
    </w:p>
    <w:p w14:paraId="0844110C">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sz w:val="28"/>
          <w:szCs w:val="28"/>
          <w:lang w:val="uk-UA"/>
        </w:rPr>
        <w:t>Стійкість геологічної структури до зовнішнього впливу безпосередньо залежить від її розмірів. Невеликі кратери, чий діаметр не перевищує кількох сотень метрів, здатні зберігатися в рельєфі лише протягом обмеженого часу, що вимірюється тисячами або кількома мільйонами років. Більш масштабні події залишають глибокі порушення в заляганні гірських порід, які можуть бути виявлені навіть за умови повного згладжування зовнішнього валу кратера. Чим старішою є імпактна подія, тим менше шансів у малих об’єктів бути знайденими в сучасну епоху. Таким чином, виникає необхідність перевірити цю теоретичну закономірність за допомогою аналізу кількісних показників відомих кратерів світу та України.</w:t>
      </w:r>
    </w:p>
    <w:p w14:paraId="00F50A79">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b/>
          <w:bCs/>
          <w:sz w:val="28"/>
          <w:szCs w:val="28"/>
        </w:rPr>
        <w:t xml:space="preserve">Метою </w:t>
      </w:r>
      <w:r>
        <w:rPr>
          <w:rFonts w:hint="default" w:ascii="Times New Roman" w:hAnsi="Times New Roman" w:cs="Times New Roman"/>
          <w:sz w:val="28"/>
          <w:szCs w:val="28"/>
        </w:rPr>
        <w:t xml:space="preserve">дослідження є виявлення та наукове обґрунтування статистичного зв’язку між віком імпактних структур Землі та їхнім </w:t>
      </w:r>
      <w:r>
        <w:rPr>
          <w:rFonts w:hint="default" w:ascii="Times New Roman" w:hAnsi="Times New Roman" w:cs="Times New Roman"/>
          <w:sz w:val="28"/>
          <w:szCs w:val="28"/>
          <w:lang w:val="uk-UA"/>
        </w:rPr>
        <w:t>діаметром</w:t>
      </w:r>
      <w:r>
        <w:rPr>
          <w:rFonts w:hint="default" w:ascii="Times New Roman" w:hAnsi="Times New Roman" w:cs="Times New Roman"/>
          <w:sz w:val="28"/>
          <w:szCs w:val="28"/>
        </w:rPr>
        <w:t xml:space="preserve">, а також доведення вибірковості збереження метеоритних кратерів залежно від їхніх </w:t>
      </w:r>
      <w:r>
        <w:rPr>
          <w:rFonts w:hint="default" w:ascii="Times New Roman" w:hAnsi="Times New Roman" w:cs="Times New Roman"/>
          <w:sz w:val="28"/>
          <w:szCs w:val="28"/>
          <w:lang w:val="uk-UA"/>
        </w:rPr>
        <w:t>розмірів</w:t>
      </w:r>
      <w:r>
        <w:rPr>
          <w:rFonts w:hint="default" w:ascii="Times New Roman" w:hAnsi="Times New Roman" w:cs="Times New Roman"/>
          <w:sz w:val="28"/>
          <w:szCs w:val="28"/>
        </w:rPr>
        <w:t>.</w:t>
      </w:r>
    </w:p>
    <w:p w14:paraId="53939B17">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b/>
          <w:bCs/>
          <w:sz w:val="28"/>
          <w:szCs w:val="28"/>
        </w:rPr>
        <w:t>Об’єктом</w:t>
      </w:r>
      <w:r>
        <w:rPr>
          <w:rFonts w:hint="default" w:ascii="Times New Roman" w:hAnsi="Times New Roman" w:cs="Times New Roman"/>
          <w:sz w:val="28"/>
          <w:szCs w:val="28"/>
        </w:rPr>
        <w:t xml:space="preserve"> дослідження є метеоритні кратери на поверхні нашої планети, що занесені до світових баз даних. </w:t>
      </w:r>
      <w:r>
        <w:rPr>
          <w:rFonts w:hint="default" w:ascii="Times New Roman" w:hAnsi="Times New Roman" w:cs="Times New Roman"/>
          <w:b/>
          <w:bCs/>
          <w:sz w:val="28"/>
          <w:szCs w:val="28"/>
        </w:rPr>
        <w:t xml:space="preserve">Предметом </w:t>
      </w:r>
      <w:r>
        <w:rPr>
          <w:rFonts w:hint="default" w:ascii="Times New Roman" w:hAnsi="Times New Roman" w:cs="Times New Roman"/>
          <w:sz w:val="28"/>
          <w:szCs w:val="28"/>
        </w:rPr>
        <w:t xml:space="preserve">дослідження виступає залежність між часом існування імпактної структури та її діаметром як головним чинником </w:t>
      </w:r>
      <w:r>
        <w:rPr>
          <w:rFonts w:hint="default" w:ascii="Times New Roman" w:hAnsi="Times New Roman" w:cs="Times New Roman"/>
          <w:sz w:val="28"/>
          <w:szCs w:val="28"/>
          <w:lang w:val="uk-UA"/>
        </w:rPr>
        <w:t xml:space="preserve">збереження </w:t>
      </w:r>
      <w:r>
        <w:rPr>
          <w:rFonts w:hint="default" w:ascii="Times New Roman" w:hAnsi="Times New Roman" w:cs="Times New Roman"/>
          <w:sz w:val="28"/>
          <w:szCs w:val="28"/>
        </w:rPr>
        <w:t>в умовах активних геологічних процесів.</w:t>
      </w:r>
    </w:p>
    <w:p w14:paraId="66DA8E26">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b/>
          <w:bCs/>
          <w:sz w:val="28"/>
          <w:szCs w:val="28"/>
          <w:lang w:val="uk-UA"/>
        </w:rPr>
        <w:t>З</w:t>
      </w:r>
      <w:r>
        <w:rPr>
          <w:rFonts w:hint="default" w:ascii="Times New Roman" w:hAnsi="Times New Roman" w:cs="Times New Roman"/>
          <w:b/>
          <w:bCs/>
          <w:sz w:val="28"/>
          <w:szCs w:val="28"/>
        </w:rPr>
        <w:t>авдання</w:t>
      </w:r>
      <w:r>
        <w:rPr>
          <w:rFonts w:hint="default" w:ascii="Times New Roman" w:hAnsi="Times New Roman" w:cs="Times New Roman"/>
          <w:b/>
          <w:bCs/>
          <w:sz w:val="28"/>
          <w:szCs w:val="28"/>
          <w:lang w:val="uk-UA"/>
        </w:rPr>
        <w:t xml:space="preserve"> </w:t>
      </w:r>
      <w:r>
        <w:rPr>
          <w:rFonts w:hint="default" w:ascii="Times New Roman" w:hAnsi="Times New Roman" w:cs="Times New Roman"/>
          <w:sz w:val="28"/>
          <w:szCs w:val="28"/>
          <w:lang w:val="uk-UA"/>
        </w:rPr>
        <w:t>дослідження:</w:t>
      </w:r>
      <w:r>
        <w:rPr>
          <w:rFonts w:hint="default" w:ascii="Times New Roman" w:hAnsi="Times New Roman" w:cs="Times New Roman"/>
          <w:sz w:val="28"/>
          <w:szCs w:val="28"/>
        </w:rPr>
        <w:t xml:space="preserve"> </w:t>
      </w:r>
      <w:r>
        <w:rPr>
          <w:rFonts w:hint="default" w:ascii="Times New Roman" w:hAnsi="Times New Roman" w:cs="Times New Roman"/>
          <w:sz w:val="28"/>
          <w:szCs w:val="28"/>
          <w:lang w:val="uk-UA"/>
        </w:rPr>
        <w:t>а)</w:t>
      </w:r>
      <w:r>
        <w:rPr>
          <w:rFonts w:hint="default" w:ascii="Times New Roman" w:hAnsi="Times New Roman" w:cs="Times New Roman"/>
          <w:sz w:val="28"/>
          <w:szCs w:val="28"/>
        </w:rPr>
        <w:t xml:space="preserve"> зібрати та систематизувати актуальні дані про підтверджені метеоритні кратери світу, розділивши їх на </w:t>
      </w:r>
      <w:r>
        <w:rPr>
          <w:rFonts w:hint="default" w:ascii="Times New Roman" w:hAnsi="Times New Roman" w:cs="Times New Roman"/>
          <w:sz w:val="28"/>
          <w:szCs w:val="28"/>
          <w:lang w:val="uk-UA"/>
        </w:rPr>
        <w:t xml:space="preserve">дві вікові </w:t>
      </w:r>
      <w:r>
        <w:rPr>
          <w:rFonts w:hint="default" w:ascii="Times New Roman" w:hAnsi="Times New Roman" w:cs="Times New Roman"/>
          <w:sz w:val="28"/>
          <w:szCs w:val="28"/>
        </w:rPr>
        <w:t>категорії</w:t>
      </w:r>
      <w:r>
        <w:rPr>
          <w:rFonts w:hint="default" w:ascii="Times New Roman" w:hAnsi="Times New Roman" w:cs="Times New Roman"/>
          <w:sz w:val="28"/>
          <w:szCs w:val="28"/>
          <w:lang w:val="uk-UA"/>
        </w:rPr>
        <w:t>;</w:t>
      </w:r>
      <w:r>
        <w:rPr>
          <w:rFonts w:hint="default" w:ascii="Times New Roman" w:hAnsi="Times New Roman" w:cs="Times New Roman"/>
          <w:sz w:val="28"/>
          <w:szCs w:val="28"/>
        </w:rPr>
        <w:t xml:space="preserve"> </w:t>
      </w:r>
      <w:r>
        <w:rPr>
          <w:rFonts w:hint="default" w:ascii="Times New Roman" w:hAnsi="Times New Roman" w:cs="Times New Roman"/>
          <w:sz w:val="28"/>
          <w:szCs w:val="28"/>
          <w:lang w:val="uk-UA"/>
        </w:rPr>
        <w:t>б)</w:t>
      </w:r>
      <w:r>
        <w:rPr>
          <w:rFonts w:hint="default" w:ascii="Times New Roman" w:hAnsi="Times New Roman" w:cs="Times New Roman"/>
          <w:sz w:val="28"/>
          <w:szCs w:val="28"/>
        </w:rPr>
        <w:t xml:space="preserve"> провести порівняльний аналіз діаметрів кратерів у різних вікових групах</w:t>
      </w:r>
      <w:r>
        <w:rPr>
          <w:rFonts w:hint="default" w:ascii="Times New Roman" w:hAnsi="Times New Roman" w:cs="Times New Roman"/>
          <w:sz w:val="28"/>
          <w:szCs w:val="28"/>
          <w:lang w:val="uk-UA"/>
        </w:rPr>
        <w:t>;</w:t>
      </w:r>
      <w:r>
        <w:rPr>
          <w:rFonts w:hint="default" w:ascii="Times New Roman" w:hAnsi="Times New Roman" w:cs="Times New Roman"/>
          <w:sz w:val="28"/>
          <w:szCs w:val="28"/>
        </w:rPr>
        <w:t xml:space="preserve"> </w:t>
      </w:r>
      <w:r>
        <w:rPr>
          <w:rFonts w:hint="default" w:ascii="Times New Roman" w:hAnsi="Times New Roman" w:cs="Times New Roman"/>
          <w:sz w:val="28"/>
          <w:szCs w:val="28"/>
          <w:lang w:val="uk-UA"/>
        </w:rPr>
        <w:t>в)</w:t>
      </w:r>
      <w:r>
        <w:rPr>
          <w:rFonts w:hint="default" w:ascii="Times New Roman" w:hAnsi="Times New Roman" w:cs="Times New Roman"/>
          <w:sz w:val="28"/>
          <w:szCs w:val="28"/>
        </w:rPr>
        <w:t xml:space="preserve"> розрахувати середні значення розмірів для кожної групи та виявити математичну різницю між ними</w:t>
      </w:r>
      <w:r>
        <w:rPr>
          <w:rFonts w:hint="default" w:ascii="Times New Roman" w:hAnsi="Times New Roman" w:cs="Times New Roman"/>
          <w:sz w:val="28"/>
          <w:szCs w:val="28"/>
          <w:lang w:val="uk-UA"/>
        </w:rPr>
        <w:t>;</w:t>
      </w:r>
      <w:r>
        <w:rPr>
          <w:rFonts w:hint="default" w:ascii="Times New Roman" w:hAnsi="Times New Roman" w:cs="Times New Roman"/>
          <w:sz w:val="28"/>
          <w:szCs w:val="28"/>
        </w:rPr>
        <w:t xml:space="preserve"> </w:t>
      </w:r>
      <w:r>
        <w:rPr>
          <w:rFonts w:hint="default" w:ascii="Times New Roman" w:hAnsi="Times New Roman" w:cs="Times New Roman"/>
          <w:sz w:val="28"/>
          <w:szCs w:val="28"/>
          <w:lang w:val="uk-UA"/>
        </w:rPr>
        <w:t>г)</w:t>
      </w:r>
      <w:r>
        <w:rPr>
          <w:rFonts w:hint="default" w:ascii="Times New Roman" w:hAnsi="Times New Roman" w:cs="Times New Roman"/>
          <w:sz w:val="28"/>
          <w:szCs w:val="28"/>
        </w:rPr>
        <w:t xml:space="preserve"> на основі отриманих результатів пояснити причини «зникнення» малих кратерів минулих епох та сформулювати висновок про стан збереження астрономічної пам’яті Землі.</w:t>
      </w:r>
    </w:p>
    <w:p w14:paraId="1E2322E0">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lang w:val="uk-UA"/>
        </w:rPr>
      </w:pPr>
      <w:r>
        <w:rPr>
          <w:rFonts w:hint="default" w:ascii="Times New Roman" w:hAnsi="Times New Roman" w:cs="Times New Roman"/>
          <w:sz w:val="28"/>
          <w:szCs w:val="28"/>
        </w:rPr>
        <w:t xml:space="preserve">Експериментальна частина </w:t>
      </w:r>
      <w:r>
        <w:rPr>
          <w:rFonts w:hint="default" w:ascii="Times New Roman" w:hAnsi="Times New Roman" w:cs="Times New Roman"/>
          <w:sz w:val="28"/>
          <w:szCs w:val="28"/>
          <w:lang w:val="uk-UA"/>
        </w:rPr>
        <w:t xml:space="preserve">роботи </w:t>
      </w:r>
      <w:r>
        <w:rPr>
          <w:rFonts w:hint="default" w:ascii="Times New Roman" w:hAnsi="Times New Roman" w:cs="Times New Roman"/>
          <w:sz w:val="28"/>
          <w:szCs w:val="28"/>
        </w:rPr>
        <w:t>полягала у статистичній обробці даних про 20 кратерів</w:t>
      </w:r>
      <w:r>
        <w:rPr>
          <w:rFonts w:hint="default" w:ascii="Times New Roman" w:hAnsi="Times New Roman" w:cs="Times New Roman"/>
          <w:sz w:val="28"/>
          <w:szCs w:val="28"/>
          <w:lang w:val="uk-UA"/>
        </w:rPr>
        <w:t xml:space="preserve"> (додаток 1)</w:t>
      </w:r>
      <w:r>
        <w:rPr>
          <w:rFonts w:hint="default" w:ascii="Times New Roman" w:hAnsi="Times New Roman" w:cs="Times New Roman"/>
          <w:sz w:val="28"/>
          <w:szCs w:val="28"/>
        </w:rPr>
        <w:t>, відібраних з різних куточків світу включ</w:t>
      </w:r>
      <w:r>
        <w:rPr>
          <w:rFonts w:hint="default" w:ascii="Times New Roman" w:hAnsi="Times New Roman" w:cs="Times New Roman"/>
          <w:sz w:val="28"/>
          <w:szCs w:val="28"/>
          <w:lang w:val="uk-UA"/>
        </w:rPr>
        <w:t>но з</w:t>
      </w:r>
      <w:r>
        <w:rPr>
          <w:rFonts w:hint="default" w:ascii="Times New Roman" w:hAnsi="Times New Roman" w:cs="Times New Roman"/>
          <w:sz w:val="28"/>
          <w:szCs w:val="28"/>
        </w:rPr>
        <w:t xml:space="preserve"> територі</w:t>
      </w:r>
      <w:r>
        <w:rPr>
          <w:rFonts w:hint="default" w:ascii="Times New Roman" w:hAnsi="Times New Roman" w:cs="Times New Roman"/>
          <w:sz w:val="28"/>
          <w:szCs w:val="28"/>
          <w:lang w:val="uk-UA"/>
        </w:rPr>
        <w:t>єю</w:t>
      </w:r>
      <w:r>
        <w:rPr>
          <w:rFonts w:hint="default" w:ascii="Times New Roman" w:hAnsi="Times New Roman" w:cs="Times New Roman"/>
          <w:sz w:val="28"/>
          <w:szCs w:val="28"/>
        </w:rPr>
        <w:t xml:space="preserve"> України</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lang w:val="uk-UA"/>
        </w:rPr>
        <w:t>за допомогою бази</w:t>
      </w:r>
      <w:r>
        <w:rPr>
          <w:rFonts w:hint="default" w:ascii="Times New Roman" w:hAnsi="Times New Roman" w:cs="Times New Roman"/>
          <w:sz w:val="28"/>
          <w:szCs w:val="28"/>
          <w:lang w:val="en-US"/>
        </w:rPr>
        <w:t xml:space="preserve"> даних </w:t>
      </w:r>
      <w:r>
        <w:rPr>
          <w:rFonts w:hint="default" w:ascii="Times New Roman" w:hAnsi="Times New Roman" w:cs="Times New Roman"/>
          <w:sz w:val="28"/>
          <w:szCs w:val="28"/>
          <w:lang w:val="uk-UA"/>
        </w:rPr>
        <w:t>ресурсу Planetary and Space Science Centre (www.passc.net).</w:t>
      </w:r>
    </w:p>
    <w:p w14:paraId="18F4D7B4">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До першої групи </w:t>
      </w:r>
      <w:r>
        <w:rPr>
          <w:rFonts w:hint="default" w:ascii="Times New Roman" w:hAnsi="Times New Roman" w:cs="Times New Roman"/>
          <w:sz w:val="28"/>
          <w:szCs w:val="28"/>
          <w:lang w:val="uk-UA"/>
        </w:rPr>
        <w:t>(</w:t>
      </w:r>
      <w:r>
        <w:rPr>
          <w:rFonts w:hint="default" w:ascii="Times New Roman" w:hAnsi="Times New Roman" w:cs="Times New Roman"/>
          <w:sz w:val="28"/>
          <w:szCs w:val="28"/>
        </w:rPr>
        <w:t>«молоді кратери»</w:t>
      </w:r>
      <w:r>
        <w:rPr>
          <w:rFonts w:hint="default" w:ascii="Times New Roman" w:hAnsi="Times New Roman" w:cs="Times New Roman"/>
          <w:sz w:val="28"/>
          <w:szCs w:val="28"/>
          <w:lang w:val="uk-UA"/>
        </w:rPr>
        <w:t>)</w:t>
      </w:r>
      <w:r>
        <w:rPr>
          <w:rFonts w:hint="default" w:ascii="Times New Roman" w:hAnsi="Times New Roman" w:cs="Times New Roman"/>
          <w:sz w:val="28"/>
          <w:szCs w:val="28"/>
        </w:rPr>
        <w:t xml:space="preserve"> увійшли 10 об’єктів віком до 50 мільйонів років. Сюди потрапили такі відомі структури, як Гоутон </w:t>
      </w:r>
      <w:r>
        <w:rPr>
          <w:rFonts w:hint="default" w:ascii="Times New Roman" w:hAnsi="Times New Roman" w:cs="Times New Roman"/>
          <w:sz w:val="28"/>
          <w:szCs w:val="28"/>
          <w:lang w:val="uk-UA"/>
        </w:rPr>
        <w:t>(</w:t>
      </w:r>
      <w:r>
        <w:rPr>
          <w:rFonts w:hint="default" w:ascii="Times New Roman" w:hAnsi="Times New Roman" w:cs="Times New Roman"/>
          <w:sz w:val="28"/>
          <w:szCs w:val="28"/>
        </w:rPr>
        <w:t>Канад</w:t>
      </w:r>
      <w:r>
        <w:rPr>
          <w:rFonts w:hint="default" w:ascii="Times New Roman" w:hAnsi="Times New Roman" w:cs="Times New Roman"/>
          <w:sz w:val="28"/>
          <w:szCs w:val="28"/>
          <w:lang w:val="uk-UA"/>
        </w:rPr>
        <w:t>а)</w:t>
      </w:r>
      <w:r>
        <w:rPr>
          <w:rFonts w:hint="default" w:ascii="Times New Roman" w:hAnsi="Times New Roman" w:cs="Times New Roman"/>
          <w:sz w:val="28"/>
          <w:szCs w:val="28"/>
        </w:rPr>
        <w:t xml:space="preserve">, Попігай </w:t>
      </w:r>
      <w:r>
        <w:rPr>
          <w:rFonts w:hint="default" w:ascii="Times New Roman" w:hAnsi="Times New Roman" w:cs="Times New Roman"/>
          <w:sz w:val="28"/>
          <w:szCs w:val="28"/>
          <w:lang w:val="uk-UA"/>
        </w:rPr>
        <w:t xml:space="preserve">(Сибір) </w:t>
      </w:r>
      <w:r>
        <w:rPr>
          <w:rFonts w:hint="default" w:ascii="Times New Roman" w:hAnsi="Times New Roman" w:cs="Times New Roman"/>
          <w:sz w:val="28"/>
          <w:szCs w:val="28"/>
        </w:rPr>
        <w:t>та Беррінджер</w:t>
      </w:r>
      <w:r>
        <w:rPr>
          <w:rFonts w:hint="default" w:ascii="Times New Roman" w:hAnsi="Times New Roman" w:cs="Times New Roman"/>
          <w:sz w:val="28"/>
          <w:szCs w:val="28"/>
          <w:lang w:val="uk-UA"/>
        </w:rPr>
        <w:t xml:space="preserve"> (Аризона)</w:t>
      </w:r>
      <w:r>
        <w:rPr>
          <w:rFonts w:hint="default" w:ascii="Times New Roman" w:hAnsi="Times New Roman" w:cs="Times New Roman"/>
          <w:sz w:val="28"/>
          <w:szCs w:val="28"/>
        </w:rPr>
        <w:t>.</w:t>
      </w:r>
      <w:bookmarkStart w:id="0" w:name="_GoBack"/>
      <w:bookmarkEnd w:id="0"/>
      <w:r>
        <w:rPr>
          <w:rFonts w:hint="default" w:ascii="Times New Roman" w:hAnsi="Times New Roman" w:cs="Times New Roman"/>
          <w:sz w:val="28"/>
          <w:szCs w:val="28"/>
        </w:rPr>
        <w:t xml:space="preserve"> Аналіз показав, що в цій групі діаметри варіюються від крихітних 20 метрів (кратер Далгаранга) до гігантських 90 кілометрів (Попігай). Середній діаметр молодих кратерів склав 17,41 кілометра. Це свідчить про те, що серед нещодавніх падінь ми ще здатні фіксувати як малі, так і великі події.</w:t>
      </w:r>
    </w:p>
    <w:p w14:paraId="77C01785">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До другої групи </w:t>
      </w:r>
      <w:r>
        <w:rPr>
          <w:rFonts w:hint="default" w:ascii="Times New Roman" w:hAnsi="Times New Roman" w:cs="Times New Roman"/>
          <w:sz w:val="28"/>
          <w:szCs w:val="28"/>
          <w:lang w:val="uk-UA"/>
        </w:rPr>
        <w:t>(</w:t>
      </w:r>
      <w:r>
        <w:rPr>
          <w:rFonts w:hint="default" w:ascii="Times New Roman" w:hAnsi="Times New Roman" w:cs="Times New Roman"/>
          <w:sz w:val="28"/>
          <w:szCs w:val="28"/>
        </w:rPr>
        <w:t>«старі кратери»</w:t>
      </w:r>
      <w:r>
        <w:rPr>
          <w:rFonts w:hint="default" w:ascii="Times New Roman" w:hAnsi="Times New Roman" w:cs="Times New Roman"/>
          <w:sz w:val="28"/>
          <w:szCs w:val="28"/>
          <w:lang w:val="uk-UA"/>
        </w:rPr>
        <w:t>)</w:t>
      </w:r>
      <w:r>
        <w:rPr>
          <w:rFonts w:hint="default" w:ascii="Times New Roman" w:hAnsi="Times New Roman" w:cs="Times New Roman"/>
          <w:sz w:val="28"/>
          <w:szCs w:val="28"/>
        </w:rPr>
        <w:t xml:space="preserve"> </w:t>
      </w:r>
      <w:r>
        <w:rPr>
          <w:rFonts w:hint="default" w:ascii="Times New Roman" w:hAnsi="Times New Roman" w:cs="Times New Roman"/>
          <w:sz w:val="28"/>
          <w:szCs w:val="28"/>
          <w:lang w:val="uk-UA"/>
        </w:rPr>
        <w:t>увійшли</w:t>
      </w:r>
      <w:r>
        <w:rPr>
          <w:rFonts w:hint="default" w:ascii="Times New Roman" w:hAnsi="Times New Roman" w:cs="Times New Roman"/>
          <w:sz w:val="28"/>
          <w:szCs w:val="28"/>
        </w:rPr>
        <w:t xml:space="preserve"> 10 об’єктів віком понад 200 мільйонів років. У цій категорії представлені такі гіганти, як Вредефорт (ПАР), Манікуаган (Канада) та Садбері (Канада). </w:t>
      </w:r>
      <w:r>
        <w:rPr>
          <w:rFonts w:hint="default" w:ascii="Times New Roman" w:hAnsi="Times New Roman" w:cs="Times New Roman"/>
          <w:sz w:val="28"/>
          <w:szCs w:val="28"/>
          <w:lang w:val="uk-UA"/>
        </w:rPr>
        <w:t>Т</w:t>
      </w:r>
      <w:r>
        <w:rPr>
          <w:rFonts w:hint="default" w:ascii="Times New Roman" w:hAnsi="Times New Roman" w:cs="Times New Roman"/>
          <w:sz w:val="28"/>
          <w:szCs w:val="28"/>
        </w:rPr>
        <w:t>акож дода</w:t>
      </w:r>
      <w:r>
        <w:rPr>
          <w:rFonts w:hint="default" w:ascii="Times New Roman" w:hAnsi="Times New Roman" w:cs="Times New Roman"/>
          <w:sz w:val="28"/>
          <w:szCs w:val="28"/>
          <w:lang w:val="uk-UA"/>
        </w:rPr>
        <w:t>но</w:t>
      </w:r>
      <w:r>
        <w:rPr>
          <w:rFonts w:hint="default" w:ascii="Times New Roman" w:hAnsi="Times New Roman" w:cs="Times New Roman"/>
          <w:sz w:val="28"/>
          <w:szCs w:val="28"/>
        </w:rPr>
        <w:t xml:space="preserve"> два українські кратери </w:t>
      </w:r>
      <w:r>
        <w:rPr>
          <w:rFonts w:hint="default" w:ascii="Times New Roman" w:hAnsi="Times New Roman" w:cs="Times New Roman"/>
          <w:sz w:val="28"/>
          <w:szCs w:val="28"/>
          <w:lang w:val="uk-UA"/>
        </w:rPr>
        <w:t>–</w:t>
      </w:r>
      <w:r>
        <w:rPr>
          <w:rFonts w:hint="default" w:ascii="Times New Roman" w:hAnsi="Times New Roman" w:cs="Times New Roman"/>
          <w:sz w:val="28"/>
          <w:szCs w:val="28"/>
        </w:rPr>
        <w:t xml:space="preserve"> Іллінецький та Тернівський, які мають поважний вік 378 та 280 мільйонів років відповідно. Опрацювання даних цієї групи виявило зовсім іншу картину. Мінімальний діаметр тут становить 8,5 кілометра (Іллінецький кратер), а максимальний сягає 160 кілометрів</w:t>
      </w:r>
      <w:r>
        <w:rPr>
          <w:rFonts w:hint="default" w:ascii="Times New Roman" w:hAnsi="Times New Roman" w:cs="Times New Roman"/>
          <w:sz w:val="28"/>
          <w:szCs w:val="28"/>
          <w:lang w:val="uk-UA"/>
        </w:rPr>
        <w:t xml:space="preserve"> (Вредефорт)</w:t>
      </w:r>
      <w:r>
        <w:rPr>
          <w:rFonts w:hint="default" w:ascii="Times New Roman" w:hAnsi="Times New Roman" w:cs="Times New Roman"/>
          <w:sz w:val="28"/>
          <w:szCs w:val="28"/>
        </w:rPr>
        <w:t>. Середній діаметр старих кратерів склав 63,55 кілометра.</w:t>
      </w:r>
    </w:p>
    <w:p w14:paraId="6C3A46C9">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Проведений аналіз демонструє </w:t>
      </w:r>
      <w:r>
        <w:rPr>
          <w:rFonts w:hint="default" w:ascii="Times New Roman" w:hAnsi="Times New Roman" w:cs="Times New Roman"/>
          <w:sz w:val="28"/>
          <w:szCs w:val="28"/>
          <w:lang w:val="uk-UA"/>
        </w:rPr>
        <w:t xml:space="preserve">суттєвий </w:t>
      </w:r>
      <w:r>
        <w:rPr>
          <w:rFonts w:hint="default" w:ascii="Times New Roman" w:hAnsi="Times New Roman" w:cs="Times New Roman"/>
          <w:sz w:val="28"/>
          <w:szCs w:val="28"/>
        </w:rPr>
        <w:t>розрив</w:t>
      </w:r>
      <w:r>
        <w:rPr>
          <w:rFonts w:hint="default" w:ascii="Times New Roman" w:hAnsi="Times New Roman" w:cs="Times New Roman"/>
          <w:sz w:val="28"/>
          <w:szCs w:val="28"/>
          <w:lang w:val="uk-UA"/>
        </w:rPr>
        <w:t xml:space="preserve"> у діаметрах</w:t>
      </w:r>
      <w:r>
        <w:rPr>
          <w:rFonts w:hint="default" w:ascii="Times New Roman" w:hAnsi="Times New Roman" w:cs="Times New Roman"/>
          <w:sz w:val="28"/>
          <w:szCs w:val="28"/>
        </w:rPr>
        <w:t>. Середній розмір стародавніх ударних структур виявився у 3,6 раза більшим, ніж у відносно сучасних. Це не означає, що в прадавні часи на Землю падали лише величезні астероїди. Це математично підтверджує, що малі кратери старіше 200 мільйонів років просто не «дожили» до наших днів. Вони були стерті з поверхні Землі геологічними процесами. Ті ж малі об’єкти, які ми бачимо в першій групі, через мільйони років також безслідно зникнуть.</w:t>
      </w:r>
    </w:p>
    <w:p w14:paraId="6B25D894">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b/>
          <w:bCs/>
          <w:sz w:val="28"/>
          <w:szCs w:val="28"/>
          <w:lang w:val="uk-UA"/>
        </w:rPr>
        <w:t>Висновки</w:t>
      </w:r>
      <w:r>
        <w:rPr>
          <w:rFonts w:hint="default" w:ascii="Times New Roman" w:hAnsi="Times New Roman" w:cs="Times New Roman"/>
          <w:b/>
          <w:bCs/>
          <w:sz w:val="28"/>
          <w:szCs w:val="28"/>
        </w:rPr>
        <w:t>.</w:t>
      </w:r>
      <w:r>
        <w:rPr>
          <w:rFonts w:hint="default" w:ascii="Times New Roman" w:hAnsi="Times New Roman" w:cs="Times New Roman"/>
          <w:sz w:val="28"/>
          <w:szCs w:val="28"/>
        </w:rPr>
        <w:t xml:space="preserve"> По-перше, виявлено пряму кореляцію між віком кратера та його мінімальним розміром: чим старішою є структура, тим більшою вона має бути для успішного збереження в геологічному літописі. По-друге, розраховано конкретну різницю в середніх діаметрах, що дає кількісну характеристику процесу геологічно</w:t>
      </w:r>
      <w:r>
        <w:rPr>
          <w:rFonts w:hint="default" w:ascii="Times New Roman" w:hAnsi="Times New Roman" w:cs="Times New Roman"/>
          <w:sz w:val="28"/>
          <w:szCs w:val="28"/>
          <w:lang w:val="uk-UA"/>
        </w:rPr>
        <w:t>го</w:t>
      </w:r>
      <w:r>
        <w:rPr>
          <w:rFonts w:hint="default" w:ascii="Times New Roman" w:hAnsi="Times New Roman" w:cs="Times New Roman"/>
          <w:sz w:val="28"/>
          <w:szCs w:val="28"/>
        </w:rPr>
        <w:t xml:space="preserve"> </w:t>
      </w:r>
      <w:r>
        <w:rPr>
          <w:rFonts w:hint="default" w:ascii="Times New Roman" w:hAnsi="Times New Roman" w:cs="Times New Roman"/>
          <w:sz w:val="28"/>
          <w:szCs w:val="28"/>
          <w:lang w:val="uk-UA"/>
        </w:rPr>
        <w:t>руйнування астроблем</w:t>
      </w:r>
      <w:r>
        <w:rPr>
          <w:rFonts w:hint="default" w:ascii="Times New Roman" w:hAnsi="Times New Roman" w:cs="Times New Roman"/>
          <w:sz w:val="28"/>
          <w:szCs w:val="28"/>
        </w:rPr>
        <w:t xml:space="preserve"> Землі.</w:t>
      </w:r>
    </w:p>
    <w:p w14:paraId="42B89936">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 xml:space="preserve">Мій особистий внесок у цей проєкт полягає у проведенні самостійного статистичного аналізу на основі даних з міжнародних </w:t>
      </w:r>
      <w:r>
        <w:rPr>
          <w:rFonts w:hint="default" w:ascii="Times New Roman" w:hAnsi="Times New Roman" w:cs="Times New Roman"/>
          <w:sz w:val="28"/>
          <w:szCs w:val="28"/>
          <w:lang w:val="uk-UA"/>
        </w:rPr>
        <w:t>ресурсів та інтерпретації результатів</w:t>
      </w:r>
      <w:r>
        <w:rPr>
          <w:rFonts w:hint="default" w:ascii="Times New Roman" w:hAnsi="Times New Roman" w:cs="Times New Roman"/>
          <w:sz w:val="28"/>
          <w:szCs w:val="28"/>
        </w:rPr>
        <w:t xml:space="preserve">. Елементом новизни дослідження є </w:t>
      </w:r>
      <w:r>
        <w:rPr>
          <w:rFonts w:hint="default" w:ascii="Times New Roman" w:hAnsi="Times New Roman" w:cs="Times New Roman"/>
          <w:sz w:val="28"/>
          <w:szCs w:val="28"/>
          <w:lang w:val="uk-UA"/>
        </w:rPr>
        <w:t xml:space="preserve">математичне </w:t>
      </w:r>
      <w:r>
        <w:rPr>
          <w:rFonts w:hint="default" w:ascii="Times New Roman" w:hAnsi="Times New Roman" w:cs="Times New Roman"/>
          <w:sz w:val="28"/>
          <w:szCs w:val="28"/>
        </w:rPr>
        <w:t>підтвердження вибірковості геологічної пам’яті Землі.</w:t>
      </w:r>
    </w:p>
    <w:p w14:paraId="0129AEC5">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Результати роботи можуть стати основою для подальших порівняльних досліджень з</w:t>
      </w:r>
      <w:r>
        <w:rPr>
          <w:rFonts w:hint="default" w:ascii="Times New Roman" w:hAnsi="Times New Roman" w:cs="Times New Roman"/>
          <w:sz w:val="28"/>
          <w:szCs w:val="28"/>
          <w:lang w:val="uk-UA"/>
        </w:rPr>
        <w:t xml:space="preserve"> іншими</w:t>
      </w:r>
      <w:r>
        <w:rPr>
          <w:rFonts w:hint="default" w:ascii="Times New Roman" w:hAnsi="Times New Roman" w:cs="Times New Roman"/>
          <w:sz w:val="28"/>
          <w:szCs w:val="28"/>
        </w:rPr>
        <w:t xml:space="preserve"> планетами, наприклад, з Місяцем. Це дозволить точніше визначити швидкість руйнування імпактних структур під впливом земних чинників.</w:t>
      </w:r>
    </w:p>
    <w:p w14:paraId="2820C793">
      <w:pPr>
        <w:keepNext w:val="0"/>
        <w:keepLines w:val="0"/>
        <w:pageBreakBefore w:val="0"/>
        <w:widowControl/>
        <w:kinsoku/>
        <w:wordWrap/>
        <w:overflowPunct/>
        <w:topLinePunct w:val="0"/>
        <w:autoSpaceDE/>
        <w:autoSpaceDN/>
        <w:bidi w:val="0"/>
        <w:adjustRightInd/>
        <w:snapToGrid/>
        <w:spacing w:line="360" w:lineRule="auto"/>
        <w:ind w:firstLine="567"/>
        <w:jc w:val="both"/>
        <w:textAlignment w:val="auto"/>
        <w:rPr>
          <w:rFonts w:hint="default" w:ascii="Times New Roman" w:hAnsi="Times New Roman" w:cs="Times New Roman"/>
          <w:sz w:val="28"/>
          <w:szCs w:val="28"/>
        </w:rPr>
      </w:pPr>
    </w:p>
    <w:p w14:paraId="557D74E0">
      <w:pPr>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default" w:ascii="Times New Roman" w:hAnsi="Times New Roman" w:cs="Times New Roman"/>
          <w:sz w:val="24"/>
          <w:szCs w:val="24"/>
          <w:lang w:val="uk-UA"/>
        </w:rPr>
      </w:pPr>
      <w:r>
        <w:rPr>
          <w:rFonts w:hint="default" w:ascii="Times New Roman" w:hAnsi="Times New Roman" w:cs="Times New Roman"/>
          <w:sz w:val="28"/>
          <w:szCs w:val="28"/>
          <w:lang w:val="uk-UA"/>
        </w:rPr>
        <w:t>Додаток 1</w:t>
      </w:r>
    </w:p>
    <w:tbl>
      <w:tblPr>
        <w:tblStyle w:val="5"/>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321"/>
        <w:gridCol w:w="1033"/>
        <w:gridCol w:w="1349"/>
        <w:gridCol w:w="1204"/>
        <w:gridCol w:w="1289"/>
        <w:gridCol w:w="1171"/>
        <w:gridCol w:w="1349"/>
        <w:gridCol w:w="1138"/>
      </w:tblGrid>
      <w:tr w14:paraId="40402CE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tcBorders>
              <w:bottom w:val="single" w:color="000000" w:sz="12" w:space="0"/>
            </w:tcBorders>
            <w:shd w:val="clear" w:color="auto" w:fill="BDD6EE" w:themeFill="accent1" w:themeFillTint="66"/>
            <w:vAlign w:val="center"/>
          </w:tcPr>
          <w:p w14:paraId="61E0ACAC">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Назва кратера</w:t>
            </w:r>
          </w:p>
        </w:tc>
        <w:tc>
          <w:tcPr>
            <w:tcW w:w="1033" w:type="dxa"/>
            <w:tcBorders>
              <w:bottom w:val="single" w:color="000000" w:sz="12" w:space="0"/>
            </w:tcBorders>
            <w:shd w:val="clear" w:color="auto" w:fill="BDD6EE" w:themeFill="accent1" w:themeFillTint="66"/>
            <w:vAlign w:val="center"/>
          </w:tcPr>
          <w:p w14:paraId="3BFB5135">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Країна</w:t>
            </w:r>
          </w:p>
        </w:tc>
        <w:tc>
          <w:tcPr>
            <w:tcW w:w="1349" w:type="dxa"/>
            <w:tcBorders>
              <w:bottom w:val="single" w:color="000000" w:sz="12" w:space="0"/>
            </w:tcBorders>
            <w:shd w:val="clear" w:color="auto" w:fill="BDD6EE" w:themeFill="accent1" w:themeFillTint="66"/>
            <w:vAlign w:val="center"/>
          </w:tcPr>
          <w:p w14:paraId="5FF01770">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Діаметр (км)</w:t>
            </w:r>
          </w:p>
        </w:tc>
        <w:tc>
          <w:tcPr>
            <w:tcW w:w="1204" w:type="dxa"/>
            <w:tcBorders>
              <w:bottom w:val="single" w:color="000000" w:sz="12" w:space="0"/>
              <w:right w:val="single" w:color="000000" w:sz="12" w:space="0"/>
            </w:tcBorders>
            <w:shd w:val="clear" w:color="auto" w:fill="BDD6EE" w:themeFill="accent1" w:themeFillTint="66"/>
            <w:vAlign w:val="center"/>
          </w:tcPr>
          <w:p w14:paraId="5424E5C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Вік (млн років)</w:t>
            </w:r>
          </w:p>
        </w:tc>
        <w:tc>
          <w:tcPr>
            <w:tcW w:w="1289" w:type="dxa"/>
            <w:tcBorders>
              <w:left w:val="single" w:color="000000" w:sz="12" w:space="0"/>
              <w:bottom w:val="single" w:color="000000" w:sz="12" w:space="0"/>
            </w:tcBorders>
            <w:shd w:val="clear" w:color="auto" w:fill="BDD6EE" w:themeFill="accent1" w:themeFillTint="66"/>
            <w:vAlign w:val="center"/>
          </w:tcPr>
          <w:p w14:paraId="40459155">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Назва кратера</w:t>
            </w:r>
          </w:p>
        </w:tc>
        <w:tc>
          <w:tcPr>
            <w:tcW w:w="1171" w:type="dxa"/>
            <w:tcBorders>
              <w:bottom w:val="single" w:color="000000" w:sz="12" w:space="0"/>
            </w:tcBorders>
            <w:shd w:val="clear" w:color="auto" w:fill="BDD6EE" w:themeFill="accent1" w:themeFillTint="66"/>
            <w:vAlign w:val="center"/>
          </w:tcPr>
          <w:p w14:paraId="69D1E281">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Країна</w:t>
            </w:r>
          </w:p>
        </w:tc>
        <w:tc>
          <w:tcPr>
            <w:tcW w:w="1349" w:type="dxa"/>
            <w:tcBorders>
              <w:bottom w:val="single" w:color="000000" w:sz="12" w:space="0"/>
            </w:tcBorders>
            <w:shd w:val="clear" w:color="auto" w:fill="BDD6EE" w:themeFill="accent1" w:themeFillTint="66"/>
            <w:vAlign w:val="center"/>
          </w:tcPr>
          <w:p w14:paraId="5BC914E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Діаметр (км)</w:t>
            </w:r>
          </w:p>
        </w:tc>
        <w:tc>
          <w:tcPr>
            <w:tcW w:w="1138" w:type="dxa"/>
            <w:tcBorders>
              <w:bottom w:val="single" w:color="000000" w:sz="12" w:space="0"/>
            </w:tcBorders>
            <w:shd w:val="clear" w:color="auto" w:fill="BDD6EE" w:themeFill="accent1" w:themeFillTint="66"/>
            <w:vAlign w:val="center"/>
          </w:tcPr>
          <w:p w14:paraId="19BEEB2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uk-UA" w:eastAsia="zh-CN" w:bidi="ar"/>
              </w:rPr>
              <w:t>Вік (млн років)</w:t>
            </w:r>
          </w:p>
        </w:tc>
      </w:tr>
      <w:tr w14:paraId="3BF5ADCF">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tcBorders>
              <w:top w:val="single" w:color="000000" w:sz="12" w:space="0"/>
            </w:tcBorders>
            <w:vAlign w:val="bottom"/>
          </w:tcPr>
          <w:p w14:paraId="5625C860">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Vredefort</w:t>
            </w:r>
          </w:p>
        </w:tc>
        <w:tc>
          <w:tcPr>
            <w:tcW w:w="1033" w:type="dxa"/>
            <w:tcBorders>
              <w:top w:val="single" w:color="000000" w:sz="12" w:space="0"/>
            </w:tcBorders>
            <w:vAlign w:val="bottom"/>
          </w:tcPr>
          <w:p w14:paraId="01C683F0">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en-US"/>
              </w:rPr>
            </w:pPr>
            <w:r>
              <w:rPr>
                <w:rFonts w:hint="default" w:ascii="Calibri" w:hAnsi="Calibri" w:eastAsia="SimSun" w:cs="Calibri"/>
                <w:i w:val="0"/>
                <w:iCs w:val="0"/>
                <w:color w:val="000000"/>
                <w:kern w:val="0"/>
                <w:sz w:val="20"/>
                <w:szCs w:val="20"/>
                <w:u w:val="none"/>
                <w:lang w:val="en-US" w:eastAsia="zh-CN" w:bidi="ar"/>
              </w:rPr>
              <w:t>RSA</w:t>
            </w:r>
          </w:p>
        </w:tc>
        <w:tc>
          <w:tcPr>
            <w:tcW w:w="1349" w:type="dxa"/>
            <w:tcBorders>
              <w:top w:val="single" w:color="000000" w:sz="12" w:space="0"/>
            </w:tcBorders>
            <w:vAlign w:val="bottom"/>
          </w:tcPr>
          <w:p w14:paraId="5E3895B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160</w:t>
            </w:r>
          </w:p>
        </w:tc>
        <w:tc>
          <w:tcPr>
            <w:tcW w:w="1204" w:type="dxa"/>
            <w:tcBorders>
              <w:top w:val="single" w:color="000000" w:sz="12" w:space="0"/>
              <w:right w:val="single" w:color="000000" w:sz="12" w:space="0"/>
            </w:tcBorders>
            <w:vAlign w:val="bottom"/>
          </w:tcPr>
          <w:p w14:paraId="5E8BB3C5">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2023</w:t>
            </w:r>
          </w:p>
        </w:tc>
        <w:tc>
          <w:tcPr>
            <w:tcW w:w="1289" w:type="dxa"/>
            <w:tcBorders>
              <w:top w:val="single" w:color="000000" w:sz="12" w:space="0"/>
              <w:left w:val="single" w:color="000000" w:sz="12" w:space="0"/>
            </w:tcBorders>
            <w:vAlign w:val="bottom"/>
          </w:tcPr>
          <w:p w14:paraId="519DF87B">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Haughton</w:t>
            </w:r>
          </w:p>
        </w:tc>
        <w:tc>
          <w:tcPr>
            <w:tcW w:w="1171" w:type="dxa"/>
            <w:tcBorders>
              <w:top w:val="single" w:color="000000" w:sz="12" w:space="0"/>
            </w:tcBorders>
            <w:vAlign w:val="bottom"/>
          </w:tcPr>
          <w:p w14:paraId="7425864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Canada</w:t>
            </w:r>
          </w:p>
        </w:tc>
        <w:tc>
          <w:tcPr>
            <w:tcW w:w="1349" w:type="dxa"/>
            <w:tcBorders>
              <w:top w:val="single" w:color="000000" w:sz="12" w:space="0"/>
            </w:tcBorders>
            <w:vAlign w:val="bottom"/>
          </w:tcPr>
          <w:p w14:paraId="222FC12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23</w:t>
            </w:r>
          </w:p>
        </w:tc>
        <w:tc>
          <w:tcPr>
            <w:tcW w:w="1138" w:type="dxa"/>
            <w:tcBorders>
              <w:top w:val="single" w:color="000000" w:sz="12" w:space="0"/>
            </w:tcBorders>
            <w:vAlign w:val="bottom"/>
          </w:tcPr>
          <w:p w14:paraId="05BAAEC2">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39</w:t>
            </w:r>
          </w:p>
        </w:tc>
      </w:tr>
      <w:tr w14:paraId="71391F2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21" w:type="dxa"/>
            <w:vAlign w:val="bottom"/>
          </w:tcPr>
          <w:p w14:paraId="061B1B2C">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Manicouagan</w:t>
            </w:r>
          </w:p>
        </w:tc>
        <w:tc>
          <w:tcPr>
            <w:tcW w:w="1033" w:type="dxa"/>
            <w:vAlign w:val="bottom"/>
          </w:tcPr>
          <w:p w14:paraId="43A88393">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Canada</w:t>
            </w:r>
          </w:p>
        </w:tc>
        <w:tc>
          <w:tcPr>
            <w:tcW w:w="1349" w:type="dxa"/>
            <w:vAlign w:val="bottom"/>
          </w:tcPr>
          <w:p w14:paraId="396AB49F">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85</w:t>
            </w:r>
          </w:p>
        </w:tc>
        <w:tc>
          <w:tcPr>
            <w:tcW w:w="1204" w:type="dxa"/>
            <w:tcBorders>
              <w:right w:val="single" w:color="000000" w:sz="12" w:space="0"/>
            </w:tcBorders>
            <w:vAlign w:val="bottom"/>
          </w:tcPr>
          <w:p w14:paraId="6DF7108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214</w:t>
            </w:r>
          </w:p>
        </w:tc>
        <w:tc>
          <w:tcPr>
            <w:tcW w:w="1289" w:type="dxa"/>
            <w:tcBorders>
              <w:left w:val="single" w:color="000000" w:sz="12" w:space="0"/>
            </w:tcBorders>
            <w:vAlign w:val="bottom"/>
          </w:tcPr>
          <w:p w14:paraId="227B579F">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Mistastin</w:t>
            </w:r>
          </w:p>
        </w:tc>
        <w:tc>
          <w:tcPr>
            <w:tcW w:w="1171" w:type="dxa"/>
            <w:vAlign w:val="bottom"/>
          </w:tcPr>
          <w:p w14:paraId="0021F89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Canada</w:t>
            </w:r>
          </w:p>
        </w:tc>
        <w:tc>
          <w:tcPr>
            <w:tcW w:w="1349" w:type="dxa"/>
            <w:vAlign w:val="bottom"/>
          </w:tcPr>
          <w:p w14:paraId="1F438E5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28</w:t>
            </w:r>
          </w:p>
        </w:tc>
        <w:tc>
          <w:tcPr>
            <w:tcW w:w="1138" w:type="dxa"/>
            <w:vAlign w:val="bottom"/>
          </w:tcPr>
          <w:p w14:paraId="252B660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36,4</w:t>
            </w:r>
          </w:p>
        </w:tc>
      </w:tr>
      <w:tr w14:paraId="67B5CAE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45929B1B">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Ilyinets</w:t>
            </w:r>
          </w:p>
        </w:tc>
        <w:tc>
          <w:tcPr>
            <w:tcW w:w="1033" w:type="dxa"/>
            <w:vAlign w:val="bottom"/>
          </w:tcPr>
          <w:p w14:paraId="42D2109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Ukraine</w:t>
            </w:r>
          </w:p>
        </w:tc>
        <w:tc>
          <w:tcPr>
            <w:tcW w:w="1349" w:type="dxa"/>
            <w:vAlign w:val="bottom"/>
          </w:tcPr>
          <w:p w14:paraId="43A4138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8,5</w:t>
            </w:r>
          </w:p>
        </w:tc>
        <w:tc>
          <w:tcPr>
            <w:tcW w:w="1204" w:type="dxa"/>
            <w:tcBorders>
              <w:right w:val="single" w:color="000000" w:sz="12" w:space="0"/>
            </w:tcBorders>
            <w:vAlign w:val="bottom"/>
          </w:tcPr>
          <w:p w14:paraId="758A9E23">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378</w:t>
            </w:r>
          </w:p>
        </w:tc>
        <w:tc>
          <w:tcPr>
            <w:tcW w:w="1289" w:type="dxa"/>
            <w:tcBorders>
              <w:left w:val="single" w:color="000000" w:sz="12" w:space="0"/>
            </w:tcBorders>
            <w:vAlign w:val="bottom"/>
          </w:tcPr>
          <w:p w14:paraId="0109031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Popigai</w:t>
            </w:r>
          </w:p>
        </w:tc>
        <w:tc>
          <w:tcPr>
            <w:tcW w:w="1171" w:type="dxa"/>
            <w:vAlign w:val="bottom"/>
          </w:tcPr>
          <w:p w14:paraId="44D18F1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Russia</w:t>
            </w:r>
          </w:p>
        </w:tc>
        <w:tc>
          <w:tcPr>
            <w:tcW w:w="1349" w:type="dxa"/>
            <w:vAlign w:val="bottom"/>
          </w:tcPr>
          <w:p w14:paraId="48A0E12A">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90</w:t>
            </w:r>
          </w:p>
        </w:tc>
        <w:tc>
          <w:tcPr>
            <w:tcW w:w="1138" w:type="dxa"/>
            <w:vAlign w:val="bottom"/>
          </w:tcPr>
          <w:p w14:paraId="42FECEAB">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35,7</w:t>
            </w:r>
          </w:p>
        </w:tc>
      </w:tr>
      <w:tr w14:paraId="6A0499F0">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1678BFBF">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Ternovka</w:t>
            </w:r>
          </w:p>
        </w:tc>
        <w:tc>
          <w:tcPr>
            <w:tcW w:w="1033" w:type="dxa"/>
            <w:vAlign w:val="bottom"/>
          </w:tcPr>
          <w:p w14:paraId="4208F2CC">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Ukraine</w:t>
            </w:r>
          </w:p>
        </w:tc>
        <w:tc>
          <w:tcPr>
            <w:tcW w:w="1349" w:type="dxa"/>
            <w:vAlign w:val="bottom"/>
          </w:tcPr>
          <w:p w14:paraId="4397006F">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11</w:t>
            </w:r>
          </w:p>
        </w:tc>
        <w:tc>
          <w:tcPr>
            <w:tcW w:w="1204" w:type="dxa"/>
            <w:tcBorders>
              <w:right w:val="single" w:color="000000" w:sz="12" w:space="0"/>
            </w:tcBorders>
            <w:vAlign w:val="bottom"/>
          </w:tcPr>
          <w:p w14:paraId="2C558906">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280</w:t>
            </w:r>
          </w:p>
        </w:tc>
        <w:tc>
          <w:tcPr>
            <w:tcW w:w="1289" w:type="dxa"/>
            <w:tcBorders>
              <w:left w:val="single" w:color="000000" w:sz="12" w:space="0"/>
            </w:tcBorders>
            <w:vAlign w:val="bottom"/>
          </w:tcPr>
          <w:p w14:paraId="4CCA64B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Barringer</w:t>
            </w:r>
          </w:p>
        </w:tc>
        <w:tc>
          <w:tcPr>
            <w:tcW w:w="1171" w:type="dxa"/>
            <w:vAlign w:val="bottom"/>
          </w:tcPr>
          <w:p w14:paraId="52776B19">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USA</w:t>
            </w:r>
          </w:p>
        </w:tc>
        <w:tc>
          <w:tcPr>
            <w:tcW w:w="1349" w:type="dxa"/>
            <w:vAlign w:val="bottom"/>
          </w:tcPr>
          <w:p w14:paraId="5BCE390B">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1,18</w:t>
            </w:r>
          </w:p>
        </w:tc>
        <w:tc>
          <w:tcPr>
            <w:tcW w:w="1138" w:type="dxa"/>
            <w:vAlign w:val="bottom"/>
          </w:tcPr>
          <w:p w14:paraId="5AE9874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0,049</w:t>
            </w:r>
          </w:p>
        </w:tc>
      </w:tr>
      <w:tr w14:paraId="79DA0CD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5F9B22B2">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Araguainha</w:t>
            </w:r>
          </w:p>
        </w:tc>
        <w:tc>
          <w:tcPr>
            <w:tcW w:w="1033" w:type="dxa"/>
            <w:vAlign w:val="bottom"/>
          </w:tcPr>
          <w:p w14:paraId="0472FD73">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Brazil</w:t>
            </w:r>
          </w:p>
        </w:tc>
        <w:tc>
          <w:tcPr>
            <w:tcW w:w="1349" w:type="dxa"/>
            <w:vAlign w:val="bottom"/>
          </w:tcPr>
          <w:p w14:paraId="570F863F">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40</w:t>
            </w:r>
          </w:p>
        </w:tc>
        <w:tc>
          <w:tcPr>
            <w:tcW w:w="1204" w:type="dxa"/>
            <w:tcBorders>
              <w:right w:val="single" w:color="000000" w:sz="12" w:space="0"/>
            </w:tcBorders>
            <w:vAlign w:val="bottom"/>
          </w:tcPr>
          <w:p w14:paraId="3571C9F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254,7</w:t>
            </w:r>
          </w:p>
        </w:tc>
        <w:tc>
          <w:tcPr>
            <w:tcW w:w="1289" w:type="dxa"/>
            <w:tcBorders>
              <w:left w:val="single" w:color="000000" w:sz="12" w:space="0"/>
            </w:tcBorders>
            <w:vAlign w:val="bottom"/>
          </w:tcPr>
          <w:p w14:paraId="0F8A8571">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Aouelloul</w:t>
            </w:r>
          </w:p>
        </w:tc>
        <w:tc>
          <w:tcPr>
            <w:tcW w:w="1171" w:type="dxa"/>
            <w:vAlign w:val="bottom"/>
          </w:tcPr>
          <w:p w14:paraId="538C5D9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Mauritania</w:t>
            </w:r>
          </w:p>
        </w:tc>
        <w:tc>
          <w:tcPr>
            <w:tcW w:w="1349" w:type="dxa"/>
            <w:vAlign w:val="bottom"/>
          </w:tcPr>
          <w:p w14:paraId="705A2D13">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0,39</w:t>
            </w:r>
          </w:p>
        </w:tc>
        <w:tc>
          <w:tcPr>
            <w:tcW w:w="1138" w:type="dxa"/>
            <w:vAlign w:val="bottom"/>
          </w:tcPr>
          <w:p w14:paraId="25EAF134">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w:t>
            </w:r>
          </w:p>
        </w:tc>
      </w:tr>
      <w:tr w14:paraId="548C9563">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7FA7AB52">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Acraman</w:t>
            </w:r>
          </w:p>
        </w:tc>
        <w:tc>
          <w:tcPr>
            <w:tcW w:w="1033" w:type="dxa"/>
            <w:vAlign w:val="bottom"/>
          </w:tcPr>
          <w:p w14:paraId="047D4F4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Australia</w:t>
            </w:r>
          </w:p>
        </w:tc>
        <w:tc>
          <w:tcPr>
            <w:tcW w:w="1349" w:type="dxa"/>
            <w:vAlign w:val="bottom"/>
          </w:tcPr>
          <w:p w14:paraId="5CC780EB">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90</w:t>
            </w:r>
          </w:p>
        </w:tc>
        <w:tc>
          <w:tcPr>
            <w:tcW w:w="1204" w:type="dxa"/>
            <w:tcBorders>
              <w:right w:val="single" w:color="000000" w:sz="12" w:space="0"/>
            </w:tcBorders>
            <w:vAlign w:val="bottom"/>
          </w:tcPr>
          <w:p w14:paraId="33C67003">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590</w:t>
            </w:r>
          </w:p>
        </w:tc>
        <w:tc>
          <w:tcPr>
            <w:tcW w:w="1289" w:type="dxa"/>
            <w:tcBorders>
              <w:left w:val="single" w:color="000000" w:sz="12" w:space="0"/>
            </w:tcBorders>
            <w:vAlign w:val="bottom"/>
          </w:tcPr>
          <w:p w14:paraId="4DA89BA5">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Ries</w:t>
            </w:r>
          </w:p>
        </w:tc>
        <w:tc>
          <w:tcPr>
            <w:tcW w:w="1171" w:type="dxa"/>
            <w:vAlign w:val="bottom"/>
          </w:tcPr>
          <w:p w14:paraId="4449CC5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Germany</w:t>
            </w:r>
          </w:p>
        </w:tc>
        <w:tc>
          <w:tcPr>
            <w:tcW w:w="1349" w:type="dxa"/>
            <w:vAlign w:val="bottom"/>
          </w:tcPr>
          <w:p w14:paraId="1FC44B70">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24</w:t>
            </w:r>
          </w:p>
        </w:tc>
        <w:tc>
          <w:tcPr>
            <w:tcW w:w="1138" w:type="dxa"/>
            <w:vAlign w:val="bottom"/>
          </w:tcPr>
          <w:p w14:paraId="60A72DD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15,1</w:t>
            </w:r>
          </w:p>
        </w:tc>
      </w:tr>
      <w:tr w14:paraId="096FFA2A">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5D2D8AC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Woodleigh</w:t>
            </w:r>
          </w:p>
        </w:tc>
        <w:tc>
          <w:tcPr>
            <w:tcW w:w="1033" w:type="dxa"/>
            <w:vAlign w:val="bottom"/>
          </w:tcPr>
          <w:p w14:paraId="55DBA6A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Australia</w:t>
            </w:r>
          </w:p>
        </w:tc>
        <w:tc>
          <w:tcPr>
            <w:tcW w:w="1349" w:type="dxa"/>
            <w:vAlign w:val="bottom"/>
          </w:tcPr>
          <w:p w14:paraId="0E1717D2">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40</w:t>
            </w:r>
          </w:p>
        </w:tc>
        <w:tc>
          <w:tcPr>
            <w:tcW w:w="1204" w:type="dxa"/>
            <w:tcBorders>
              <w:right w:val="single" w:color="000000" w:sz="12" w:space="0"/>
            </w:tcBorders>
            <w:vAlign w:val="bottom"/>
          </w:tcPr>
          <w:p w14:paraId="26E645D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364</w:t>
            </w:r>
          </w:p>
        </w:tc>
        <w:tc>
          <w:tcPr>
            <w:tcW w:w="1289" w:type="dxa"/>
            <w:tcBorders>
              <w:left w:val="single" w:color="000000" w:sz="12" w:space="0"/>
            </w:tcBorders>
            <w:vAlign w:val="bottom"/>
          </w:tcPr>
          <w:p w14:paraId="346A51A1">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Steinheim</w:t>
            </w:r>
          </w:p>
        </w:tc>
        <w:tc>
          <w:tcPr>
            <w:tcW w:w="1171" w:type="dxa"/>
            <w:vAlign w:val="bottom"/>
          </w:tcPr>
          <w:p w14:paraId="228ED8C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Germany</w:t>
            </w:r>
          </w:p>
        </w:tc>
        <w:tc>
          <w:tcPr>
            <w:tcW w:w="1349" w:type="dxa"/>
            <w:vAlign w:val="bottom"/>
          </w:tcPr>
          <w:p w14:paraId="794FD0CF">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3,8</w:t>
            </w:r>
          </w:p>
        </w:tc>
        <w:tc>
          <w:tcPr>
            <w:tcW w:w="1138" w:type="dxa"/>
            <w:vAlign w:val="bottom"/>
          </w:tcPr>
          <w:p w14:paraId="7804027C">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15</w:t>
            </w:r>
          </w:p>
        </w:tc>
      </w:tr>
      <w:tr w14:paraId="27AA30B9">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7170D6C6">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Dhala</w:t>
            </w:r>
          </w:p>
        </w:tc>
        <w:tc>
          <w:tcPr>
            <w:tcW w:w="1033" w:type="dxa"/>
            <w:vAlign w:val="bottom"/>
          </w:tcPr>
          <w:p w14:paraId="36B5E1AC">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India</w:t>
            </w:r>
          </w:p>
        </w:tc>
        <w:tc>
          <w:tcPr>
            <w:tcW w:w="1349" w:type="dxa"/>
            <w:vAlign w:val="bottom"/>
          </w:tcPr>
          <w:p w14:paraId="04E81029">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11</w:t>
            </w:r>
          </w:p>
        </w:tc>
        <w:tc>
          <w:tcPr>
            <w:tcW w:w="1204" w:type="dxa"/>
            <w:tcBorders>
              <w:right w:val="single" w:color="000000" w:sz="12" w:space="0"/>
            </w:tcBorders>
            <w:vAlign w:val="bottom"/>
          </w:tcPr>
          <w:p w14:paraId="1A8BBED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1700–2100</w:t>
            </w:r>
          </w:p>
        </w:tc>
        <w:tc>
          <w:tcPr>
            <w:tcW w:w="1289" w:type="dxa"/>
            <w:tcBorders>
              <w:left w:val="single" w:color="000000" w:sz="12" w:space="0"/>
            </w:tcBorders>
            <w:vAlign w:val="bottom"/>
          </w:tcPr>
          <w:p w14:paraId="3E74D469">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Dalgaranga</w:t>
            </w:r>
          </w:p>
        </w:tc>
        <w:tc>
          <w:tcPr>
            <w:tcW w:w="1171" w:type="dxa"/>
            <w:vAlign w:val="bottom"/>
          </w:tcPr>
          <w:p w14:paraId="5C830860">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Australia</w:t>
            </w:r>
          </w:p>
        </w:tc>
        <w:tc>
          <w:tcPr>
            <w:tcW w:w="1349" w:type="dxa"/>
            <w:vAlign w:val="bottom"/>
          </w:tcPr>
          <w:p w14:paraId="0E0F7F5C">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0,02</w:t>
            </w:r>
          </w:p>
        </w:tc>
        <w:tc>
          <w:tcPr>
            <w:tcW w:w="1138" w:type="dxa"/>
            <w:vAlign w:val="bottom"/>
          </w:tcPr>
          <w:p w14:paraId="1B0C37F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0,27</w:t>
            </w:r>
          </w:p>
        </w:tc>
      </w:tr>
      <w:tr w14:paraId="2642E760">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592B8A1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Beaverhead</w:t>
            </w:r>
          </w:p>
        </w:tc>
        <w:tc>
          <w:tcPr>
            <w:tcW w:w="1033" w:type="dxa"/>
            <w:vAlign w:val="bottom"/>
          </w:tcPr>
          <w:p w14:paraId="4C5F607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USA</w:t>
            </w:r>
          </w:p>
        </w:tc>
        <w:tc>
          <w:tcPr>
            <w:tcW w:w="1349" w:type="dxa"/>
            <w:vAlign w:val="bottom"/>
          </w:tcPr>
          <w:p w14:paraId="21D622F2">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60</w:t>
            </w:r>
          </w:p>
        </w:tc>
        <w:tc>
          <w:tcPr>
            <w:tcW w:w="1204" w:type="dxa"/>
            <w:tcBorders>
              <w:right w:val="single" w:color="000000" w:sz="12" w:space="0"/>
            </w:tcBorders>
            <w:vAlign w:val="bottom"/>
          </w:tcPr>
          <w:p w14:paraId="57F259D2">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600</w:t>
            </w:r>
          </w:p>
        </w:tc>
        <w:tc>
          <w:tcPr>
            <w:tcW w:w="1289" w:type="dxa"/>
            <w:tcBorders>
              <w:left w:val="single" w:color="000000" w:sz="12" w:space="0"/>
            </w:tcBorders>
            <w:vAlign w:val="bottom"/>
          </w:tcPr>
          <w:p w14:paraId="6831E729">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Henbury</w:t>
            </w:r>
          </w:p>
        </w:tc>
        <w:tc>
          <w:tcPr>
            <w:tcW w:w="1171" w:type="dxa"/>
            <w:vAlign w:val="bottom"/>
          </w:tcPr>
          <w:p w14:paraId="75786FF7">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Australia</w:t>
            </w:r>
          </w:p>
        </w:tc>
        <w:tc>
          <w:tcPr>
            <w:tcW w:w="1349" w:type="dxa"/>
            <w:vAlign w:val="bottom"/>
          </w:tcPr>
          <w:p w14:paraId="7DC6FEAD">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0,15</w:t>
            </w:r>
          </w:p>
        </w:tc>
        <w:tc>
          <w:tcPr>
            <w:tcW w:w="1138" w:type="dxa"/>
            <w:vAlign w:val="bottom"/>
          </w:tcPr>
          <w:p w14:paraId="3607E376">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0,0042</w:t>
            </w:r>
          </w:p>
        </w:tc>
      </w:tr>
      <w:tr w14:paraId="286D87CE">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21" w:type="dxa"/>
            <w:vAlign w:val="bottom"/>
          </w:tcPr>
          <w:p w14:paraId="67FD9908">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Sudbury</w:t>
            </w:r>
          </w:p>
        </w:tc>
        <w:tc>
          <w:tcPr>
            <w:tcW w:w="1033" w:type="dxa"/>
            <w:vAlign w:val="bottom"/>
          </w:tcPr>
          <w:p w14:paraId="38F4621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Canada</w:t>
            </w:r>
          </w:p>
        </w:tc>
        <w:tc>
          <w:tcPr>
            <w:tcW w:w="1349" w:type="dxa"/>
            <w:vAlign w:val="bottom"/>
          </w:tcPr>
          <w:p w14:paraId="79DB59D4">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130</w:t>
            </w:r>
          </w:p>
        </w:tc>
        <w:tc>
          <w:tcPr>
            <w:tcW w:w="1204" w:type="dxa"/>
            <w:tcBorders>
              <w:right w:val="single" w:color="000000" w:sz="12" w:space="0"/>
            </w:tcBorders>
            <w:vAlign w:val="bottom"/>
          </w:tcPr>
          <w:p w14:paraId="0E29CCD4">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1850</w:t>
            </w:r>
          </w:p>
        </w:tc>
        <w:tc>
          <w:tcPr>
            <w:tcW w:w="1289" w:type="dxa"/>
            <w:tcBorders>
              <w:left w:val="single" w:color="000000" w:sz="12" w:space="0"/>
            </w:tcBorders>
            <w:vAlign w:val="bottom"/>
          </w:tcPr>
          <w:p w14:paraId="649E9BF3">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Colônia</w:t>
            </w:r>
          </w:p>
        </w:tc>
        <w:tc>
          <w:tcPr>
            <w:tcW w:w="1171" w:type="dxa"/>
            <w:vAlign w:val="bottom"/>
          </w:tcPr>
          <w:p w14:paraId="016A95C6">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Brazil</w:t>
            </w:r>
          </w:p>
        </w:tc>
        <w:tc>
          <w:tcPr>
            <w:tcW w:w="1349" w:type="dxa"/>
            <w:vAlign w:val="bottom"/>
          </w:tcPr>
          <w:p w14:paraId="1141F89E">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3,6</w:t>
            </w:r>
          </w:p>
        </w:tc>
        <w:tc>
          <w:tcPr>
            <w:tcW w:w="1138" w:type="dxa"/>
            <w:vAlign w:val="bottom"/>
          </w:tcPr>
          <w:p w14:paraId="182C2230">
            <w:pPr>
              <w:keepNext w:val="0"/>
              <w:keepLines w:val="0"/>
              <w:widowControl/>
              <w:suppressLineNumbers w:val="0"/>
              <w:ind w:left="0" w:leftChars="0" w:right="0" w:rightChars="0" w:firstLine="0" w:firstLineChars="0"/>
              <w:jc w:val="center"/>
              <w:textAlignment w:val="bottom"/>
              <w:rPr>
                <w:rFonts w:hint="default" w:ascii="Times New Roman" w:hAnsi="Times New Roman" w:cs="Times New Roman"/>
                <w:sz w:val="20"/>
                <w:szCs w:val="20"/>
                <w:vertAlign w:val="baseline"/>
                <w:lang w:val="uk-UA"/>
              </w:rPr>
            </w:pPr>
            <w:r>
              <w:rPr>
                <w:rFonts w:hint="default" w:ascii="Calibri" w:hAnsi="Calibri" w:eastAsia="SimSun" w:cs="Calibri"/>
                <w:i w:val="0"/>
                <w:iCs w:val="0"/>
                <w:color w:val="000000"/>
                <w:kern w:val="0"/>
                <w:sz w:val="20"/>
                <w:szCs w:val="20"/>
                <w:u w:val="none"/>
                <w:lang w:val="en-US" w:eastAsia="zh-CN" w:bidi="ar"/>
              </w:rPr>
              <w:t>5–36</w:t>
            </w:r>
          </w:p>
        </w:tc>
      </w:tr>
    </w:tbl>
    <w:p w14:paraId="7CC94C8F">
      <w:pPr>
        <w:keepNext w:val="0"/>
        <w:keepLines w:val="0"/>
        <w:pageBreakBefore w:val="0"/>
        <w:widowControl/>
        <w:kinsoku/>
        <w:wordWrap/>
        <w:overflowPunct/>
        <w:topLinePunct w:val="0"/>
        <w:autoSpaceDE/>
        <w:autoSpaceDN/>
        <w:bidi w:val="0"/>
        <w:adjustRightInd/>
        <w:snapToGrid/>
        <w:spacing w:line="240" w:lineRule="auto"/>
        <w:ind w:firstLine="0"/>
        <w:jc w:val="both"/>
        <w:textAlignment w:val="auto"/>
        <w:rPr>
          <w:rFonts w:hint="default" w:ascii="Times New Roman" w:hAnsi="Times New Roman" w:cs="Times New Roman"/>
          <w:sz w:val="24"/>
          <w:szCs w:val="24"/>
          <w:lang w:val="uk-UA"/>
        </w:rPr>
      </w:pPr>
    </w:p>
    <w:sectPr>
      <w:pgSz w:w="11906" w:h="16838"/>
      <w:pgMar w:top="1134" w:right="1134" w:bottom="1134" w:left="1134"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F5973"/>
    <w:rsid w:val="03F6348B"/>
    <w:rsid w:val="0A271C3C"/>
    <w:rsid w:val="0DBF314B"/>
    <w:rsid w:val="14C41AA0"/>
    <w:rsid w:val="18FA6C07"/>
    <w:rsid w:val="260C0C79"/>
    <w:rsid w:val="2ABE34FC"/>
    <w:rsid w:val="2CCC2219"/>
    <w:rsid w:val="35A4398E"/>
    <w:rsid w:val="3B4300C7"/>
    <w:rsid w:val="3F8548C3"/>
    <w:rsid w:val="41021F47"/>
    <w:rsid w:val="4D9F75D5"/>
    <w:rsid w:val="4EB6170B"/>
    <w:rsid w:val="4F1B7959"/>
    <w:rsid w:val="51CC5275"/>
    <w:rsid w:val="52D12EEC"/>
    <w:rsid w:val="55C40E60"/>
    <w:rsid w:val="752175BA"/>
    <w:rsid w:val="775C36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5">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7</TotalTime>
  <ScaleCrop>false</ScaleCrop>
  <LinksUpToDate>false</LinksUpToDate>
  <CharactersWithSpaces>0</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2026-04-04T16:02:00Z</dcterms:created>
  <dc:creator>User</dc:creator>
  <cp:lastModifiedBy>Андрей Лунячек</cp:lastModifiedBy>
  <dcterms:modified xsi:type="dcterms:W3CDTF">2026-04-13T07:27:41Z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DB20BC64255148558D149C43107617F6_12</vt:lpwstr>
  </property>
</Properties>
</file>