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fontTable.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16.odttf" ContentType="application/vnd.openxmlformats-officedocument.obfuscatedFont"/>
  <Override PartName="/word/fonts/font17.odttf" ContentType="application/vnd.openxmlformats-officedocument.obfuscatedFont"/>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LOnormal"/>
        <w:spacing w:lineRule="auto" w:line="360"/>
        <w:rPr>
          <w:rFonts w:ascii="Times New Roman" w:hAnsi="Times New Roman" w:eastAsia="Times New Roman" w:cs="Times New Roman"/>
          <w:sz w:val="28"/>
          <w:szCs w:val="28"/>
        </w:rPr>
      </w:pPr>
      <w:r>
        <w:rPr>
          <w:rFonts w:eastAsia="Times New Roman" w:cs="Times New Roman" w:ascii="Times New Roman" w:hAnsi="Times New Roman"/>
          <w:b/>
          <w:bCs/>
          <w:sz w:val="28"/>
          <w:szCs w:val="28"/>
        </w:rPr>
        <w:t>Тема:</w:t>
      </w:r>
      <w:r>
        <w:rPr>
          <w:rFonts w:eastAsia="Times New Roman" w:cs="Times New Roman" w:ascii="Times New Roman" w:hAnsi="Times New Roman"/>
          <w:sz w:val="28"/>
          <w:szCs w:val="28"/>
        </w:rPr>
        <w:t xml:space="preserve"> Вплив єврейської та польської громад на лексику села Тур’є</w:t>
      </w:r>
    </w:p>
    <w:p>
      <w:pPr>
        <w:pStyle w:val="LOnormal"/>
        <w:spacing w:lineRule="auto" w:line="360"/>
        <w:rPr>
          <w:rFonts w:ascii="Times New Roman" w:hAnsi="Times New Roman" w:eastAsia="Times New Roman" w:cs="Times New Roman"/>
          <w:sz w:val="28"/>
          <w:szCs w:val="28"/>
        </w:rPr>
      </w:pPr>
      <w:r>
        <w:rPr>
          <w:rFonts w:eastAsia="Times New Roman" w:cs="Times New Roman" w:ascii="Times New Roman" w:hAnsi="Times New Roman"/>
          <w:b/>
          <w:bCs/>
          <w:sz w:val="28"/>
          <w:szCs w:val="28"/>
        </w:rPr>
        <w:t>Автор:</w:t>
      </w:r>
      <w:r>
        <w:rPr>
          <w:rFonts w:eastAsia="Times New Roman" w:cs="Times New Roman" w:ascii="Times New Roman" w:hAnsi="Times New Roman"/>
          <w:sz w:val="28"/>
          <w:szCs w:val="28"/>
        </w:rPr>
        <w:t xml:space="preserve"> Лужаниця  Вероніка, учениця 10 класу.</w:t>
      </w:r>
    </w:p>
    <w:p>
      <w:pPr>
        <w:pStyle w:val="LOnormal"/>
        <w:spacing w:lineRule="auto" w:line="360"/>
        <w:rPr>
          <w:rFonts w:ascii="Times New Roman" w:hAnsi="Times New Roman" w:eastAsia="Times New Roman" w:cs="Times New Roman"/>
          <w:sz w:val="28"/>
          <w:szCs w:val="28"/>
        </w:rPr>
      </w:pPr>
      <w:r>
        <w:rPr>
          <w:rFonts w:eastAsia="Times New Roman" w:cs="Times New Roman" w:ascii="Times New Roman" w:hAnsi="Times New Roman"/>
          <w:b/>
          <w:bCs/>
          <w:sz w:val="28"/>
          <w:szCs w:val="28"/>
        </w:rPr>
        <w:t>Навчальний заклад</w:t>
      </w:r>
      <w:r>
        <w:rPr>
          <w:rFonts w:eastAsia="Times New Roman" w:cs="Times New Roman" w:ascii="Times New Roman" w:hAnsi="Times New Roman"/>
          <w:sz w:val="28"/>
          <w:szCs w:val="28"/>
        </w:rPr>
        <w:t>: Заклад загальної середньої освіти І-ІІІ ступенів с.Тур'є Стрілківської сільської ради Самбірського району Львівської області.</w:t>
      </w:r>
    </w:p>
    <w:p>
      <w:pPr>
        <w:pStyle w:val="LOnormal"/>
        <w:spacing w:lineRule="auto" w:line="360"/>
        <w:rPr>
          <w:rFonts w:ascii="Times New Roman" w:hAnsi="Times New Roman" w:eastAsia="Times New Roman" w:cs="Times New Roman"/>
          <w:sz w:val="28"/>
          <w:szCs w:val="28"/>
        </w:rPr>
      </w:pPr>
      <w:r>
        <w:rPr>
          <w:rFonts w:eastAsia="Times New Roman" w:cs="Times New Roman" w:ascii="Times New Roman" w:hAnsi="Times New Roman"/>
          <w:b/>
          <w:bCs/>
          <w:sz w:val="28"/>
          <w:szCs w:val="28"/>
        </w:rPr>
        <w:t>Місце проживання:</w:t>
      </w:r>
      <w:r>
        <w:rPr>
          <w:rFonts w:eastAsia="Times New Roman" w:cs="Times New Roman" w:ascii="Times New Roman" w:hAnsi="Times New Roman"/>
          <w:sz w:val="28"/>
          <w:szCs w:val="28"/>
        </w:rPr>
        <w:t xml:space="preserve"> с. Тур’є, Самбірський район, Львівська область.</w:t>
      </w:r>
    </w:p>
    <w:p>
      <w:pPr>
        <w:pStyle w:val="LOnormal"/>
        <w:spacing w:lineRule="auto" w:line="360"/>
        <w:rPr>
          <w:rFonts w:ascii="Times New Roman" w:hAnsi="Times New Roman" w:eastAsia="Times New Roman" w:cs="Times New Roman"/>
          <w:sz w:val="28"/>
          <w:szCs w:val="28"/>
        </w:rPr>
      </w:pPr>
      <w:r>
        <w:rPr>
          <w:rFonts w:eastAsia="Times New Roman" w:cs="Times New Roman" w:ascii="Times New Roman" w:hAnsi="Times New Roman"/>
          <w:b/>
          <w:bCs/>
          <w:sz w:val="28"/>
          <w:szCs w:val="28"/>
        </w:rPr>
        <w:t>Контактний телефон:</w:t>
      </w:r>
      <w:r>
        <w:rPr>
          <w:rFonts w:eastAsia="Times New Roman" w:cs="Times New Roman" w:ascii="Times New Roman" w:hAnsi="Times New Roman"/>
          <w:sz w:val="28"/>
          <w:szCs w:val="28"/>
        </w:rPr>
        <w:t xml:space="preserve"> +38 (097) 4877706</w:t>
      </w:r>
    </w:p>
    <w:p>
      <w:pPr>
        <w:pStyle w:val="LOnormal"/>
        <w:spacing w:lineRule="auto" w:line="360"/>
        <w:rPr>
          <w:rFonts w:ascii="Times New Roman" w:hAnsi="Times New Roman" w:eastAsia="Times New Roman" w:cs="Times New Roman"/>
          <w:sz w:val="28"/>
          <w:szCs w:val="28"/>
        </w:rPr>
      </w:pPr>
      <w:r>
        <w:rPr>
          <w:rFonts w:eastAsia="Times New Roman" w:cs="Times New Roman" w:ascii="Times New Roman" w:hAnsi="Times New Roman"/>
          <w:b/>
          <w:bCs/>
          <w:sz w:val="28"/>
          <w:szCs w:val="28"/>
        </w:rPr>
        <w:t>Електронна адреса:</w:t>
      </w:r>
      <w:r>
        <w:rPr>
          <w:rFonts w:eastAsia="Times New Roman" w:cs="Times New Roman" w:ascii="Times New Roman" w:hAnsi="Times New Roman"/>
          <w:sz w:val="28"/>
          <w:szCs w:val="28"/>
        </w:rPr>
        <w:t xml:space="preserve"> veronikaluzanica@gmail.com</w:t>
      </w:r>
    </w:p>
    <w:p>
      <w:pPr>
        <w:pStyle w:val="LOnormal"/>
        <w:spacing w:lineRule="auto" w:line="360"/>
        <w:rPr>
          <w:rFonts w:ascii="Times New Roman" w:hAnsi="Times New Roman" w:eastAsia="Times New Roman" w:cs="Times New Roman"/>
          <w:sz w:val="28"/>
          <w:szCs w:val="28"/>
        </w:rPr>
      </w:pPr>
      <w:r>
        <w:rPr>
          <w:rFonts w:eastAsia="Times New Roman" w:cs="Times New Roman" w:ascii="Times New Roman" w:hAnsi="Times New Roman"/>
          <w:b/>
          <w:bCs/>
          <w:sz w:val="28"/>
          <w:szCs w:val="28"/>
        </w:rPr>
        <w:t>Керівник:</w:t>
      </w:r>
      <w:r>
        <w:rPr>
          <w:rFonts w:eastAsia="Times New Roman" w:cs="Times New Roman" w:ascii="Times New Roman" w:hAnsi="Times New Roman"/>
          <w:sz w:val="28"/>
          <w:szCs w:val="28"/>
        </w:rPr>
        <w:t xml:space="preserve"> Лівчак Марія Йосипівна, директор, вчитель історії закладу загальної середньої освіти І–ІІІ ступенів с. Тур'є.</w:t>
      </w:r>
    </w:p>
    <w:p>
      <w:pPr>
        <w:pStyle w:val="LOnormal"/>
        <w:spacing w:lineRule="auto" w:line="360"/>
        <w:rPr>
          <w:rFonts w:ascii="Times New Roman" w:hAnsi="Times New Roman" w:eastAsia="Times New Roman" w:cs="Times New Roman"/>
          <w:b/>
          <w:b/>
          <w:bCs/>
          <w:sz w:val="28"/>
          <w:szCs w:val="28"/>
        </w:rPr>
      </w:pPr>
      <w:r>
        <w:rPr>
          <w:rFonts w:eastAsia="Times New Roman" w:cs="Times New Roman" w:ascii="Times New Roman" w:hAnsi="Times New Roman"/>
          <w:b/>
          <w:bCs/>
          <w:sz w:val="28"/>
          <w:szCs w:val="28"/>
        </w:rPr>
        <w:t>Стисла характеристика змісту проєкту</w:t>
      </w:r>
    </w:p>
    <w:p>
      <w:pPr>
        <w:pStyle w:val="LOnormal"/>
        <w:spacing w:lineRule="auto" w:line="360"/>
        <w:rPr>
          <w:rFonts w:ascii="Times New Roman" w:hAnsi="Times New Roman" w:eastAsia="Times New Roman" w:cs="Times New Roman"/>
          <w:sz w:val="28"/>
          <w:szCs w:val="28"/>
        </w:rPr>
      </w:pPr>
      <w:r>
        <w:rPr>
          <w:rFonts w:eastAsia="Times New Roman" w:cs="Times New Roman" w:ascii="Times New Roman" w:hAnsi="Times New Roman"/>
          <w:b/>
          <w:bCs/>
          <w:sz w:val="28"/>
          <w:szCs w:val="28"/>
        </w:rPr>
        <w:t>Актуальність дослідження</w:t>
      </w:r>
      <w:r>
        <w:rPr>
          <w:rFonts w:eastAsia="Times New Roman" w:cs="Times New Roman" w:ascii="Times New Roman" w:hAnsi="Times New Roman"/>
          <w:sz w:val="28"/>
          <w:szCs w:val="28"/>
        </w:rPr>
        <w:t xml:space="preserve"> зумовлена необхідністю збереження історичної пам’яті про багатокультурне минуле малих сіл України, яке часто залишається поза увагою офіційних підручників. Село Тур’є історично було місцем мирного співіснування українців, євреїв, поляків та німців. Особливо глибокий слід у побуті та мовленні місцевих жителів залишила єврейська </w:t>
      </w:r>
      <w:r>
        <w:rPr>
          <w:rFonts w:eastAsia="Times New Roman" w:cs="Times New Roman" w:ascii="Times New Roman" w:hAnsi="Times New Roman"/>
          <w:sz w:val="28"/>
          <w:szCs w:val="28"/>
        </w:rPr>
        <w:t xml:space="preserve">та польська </w:t>
      </w:r>
      <w:r>
        <w:rPr>
          <w:rFonts w:eastAsia="Times New Roman" w:cs="Times New Roman" w:ascii="Times New Roman" w:hAnsi="Times New Roman"/>
          <w:sz w:val="28"/>
          <w:szCs w:val="28"/>
        </w:rPr>
        <w:t>громад</w:t>
      </w:r>
      <w:r>
        <w:rPr>
          <w:rFonts w:eastAsia="Times New Roman" w:cs="Times New Roman" w:ascii="Times New Roman" w:hAnsi="Times New Roman"/>
          <w:sz w:val="28"/>
          <w:szCs w:val="28"/>
        </w:rPr>
        <w:t>и</w:t>
      </w:r>
      <w:r>
        <w:rPr>
          <w:rFonts w:eastAsia="Times New Roman" w:cs="Times New Roman" w:ascii="Times New Roman" w:hAnsi="Times New Roman"/>
          <w:sz w:val="28"/>
          <w:szCs w:val="28"/>
        </w:rPr>
        <w:t>, дослідження як</w:t>
      </w:r>
      <w:r>
        <w:rPr>
          <w:rFonts w:eastAsia="Times New Roman" w:cs="Times New Roman" w:ascii="Times New Roman" w:hAnsi="Times New Roman"/>
          <w:sz w:val="28"/>
          <w:szCs w:val="28"/>
        </w:rPr>
        <w:t>их</w:t>
      </w:r>
      <w:r>
        <w:rPr>
          <w:rFonts w:eastAsia="Times New Roman" w:cs="Times New Roman" w:ascii="Times New Roman" w:hAnsi="Times New Roman"/>
          <w:sz w:val="28"/>
          <w:szCs w:val="28"/>
        </w:rPr>
        <w:t xml:space="preserve"> дозволяє краще зрозуміти коріння сучасної культури та лексики рідного краю.  </w:t>
      </w:r>
    </w:p>
    <w:p>
      <w:pPr>
        <w:pStyle w:val="LOnormal"/>
        <w:spacing w:lineRule="auto" w:line="360"/>
        <w:rPr>
          <w:rFonts w:ascii="Times New Roman" w:hAnsi="Times New Roman" w:eastAsia="Times New Roman" w:cs="Times New Roman"/>
          <w:sz w:val="28"/>
          <w:szCs w:val="28"/>
        </w:rPr>
      </w:pPr>
      <w:r>
        <w:rPr>
          <w:rFonts w:eastAsia="Times New Roman" w:cs="Times New Roman" w:ascii="Times New Roman" w:hAnsi="Times New Roman"/>
          <w:b/>
          <w:bCs/>
          <w:sz w:val="28"/>
          <w:szCs w:val="28"/>
        </w:rPr>
        <w:t>Метою роботи</w:t>
      </w:r>
      <w:r>
        <w:rPr>
          <w:rFonts w:eastAsia="Times New Roman" w:cs="Times New Roman" w:ascii="Times New Roman" w:hAnsi="Times New Roman"/>
          <w:sz w:val="28"/>
          <w:szCs w:val="28"/>
        </w:rPr>
        <w:t xml:space="preserve"> є дослідження історичного впливу єврейської та польської громад на лексичний склад мовлення мешканців села Тур’є.  </w:t>
      </w:r>
    </w:p>
    <w:p>
      <w:pPr>
        <w:pStyle w:val="LOnormal"/>
        <w:spacing w:lineRule="auto" w:line="360"/>
        <w:rPr>
          <w:rFonts w:ascii="Times New Roman" w:hAnsi="Times New Roman" w:eastAsia="Times New Roman" w:cs="Times New Roman"/>
          <w:b/>
          <w:b/>
          <w:bCs/>
          <w:sz w:val="28"/>
          <w:szCs w:val="28"/>
        </w:rPr>
      </w:pPr>
      <w:r>
        <w:rPr>
          <w:rFonts w:eastAsia="Times New Roman" w:cs="Times New Roman" w:ascii="Times New Roman" w:hAnsi="Times New Roman"/>
          <w:b/>
          <w:bCs/>
          <w:sz w:val="28"/>
          <w:szCs w:val="28"/>
        </w:rPr>
        <w:t>Завдання дослідження:</w:t>
      </w:r>
    </w:p>
    <w:p>
      <w:pPr>
        <w:pStyle w:val="LOnormal"/>
        <w:keepNext w:val="false"/>
        <w:keepLines w:val="false"/>
        <w:pageBreakBefore w:val="false"/>
        <w:widowControl/>
        <w:numPr>
          <w:ilvl w:val="0"/>
          <w:numId w:val="1"/>
        </w:numPr>
        <w:shd w:val="clear" w:fill="auto"/>
        <w:spacing w:lineRule="auto" w:line="360" w:before="0" w:after="0"/>
        <w:ind w:left="720" w:right="0" w:hanging="360"/>
        <w:jc w:val="left"/>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8"/>
          <w:sz w:val="28"/>
          <w:szCs w:val="28"/>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8"/>
          <w:sz w:val="28"/>
          <w:szCs w:val="28"/>
          <w:u w:val="none"/>
          <w:shd w:fill="auto" w:val="clear"/>
          <w:vertAlign w:val="baseline"/>
        </w:rPr>
        <w:t xml:space="preserve">Опрацювати історичні джерела та архівні дані щодо багатонаціонального складу села Тур’є.  </w:t>
      </w:r>
    </w:p>
    <w:p>
      <w:pPr>
        <w:pStyle w:val="LOnormal"/>
        <w:keepNext w:val="false"/>
        <w:keepLines w:val="false"/>
        <w:pageBreakBefore w:val="false"/>
        <w:widowControl/>
        <w:numPr>
          <w:ilvl w:val="0"/>
          <w:numId w:val="1"/>
        </w:numPr>
        <w:shd w:val="clear" w:fill="auto"/>
        <w:spacing w:lineRule="auto" w:line="360" w:before="0" w:after="0"/>
        <w:ind w:left="720" w:right="0" w:hanging="360"/>
        <w:jc w:val="left"/>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8"/>
          <w:sz w:val="28"/>
          <w:szCs w:val="28"/>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8"/>
          <w:sz w:val="28"/>
          <w:szCs w:val="28"/>
          <w:u w:val="none"/>
          <w:shd w:fill="auto" w:val="clear"/>
          <w:vertAlign w:val="baseline"/>
        </w:rPr>
        <w:t xml:space="preserve">Провести опитування старожилів для фіксації усних спогадів про життя та побут єврейської та польської громад.  </w:t>
      </w:r>
    </w:p>
    <w:p>
      <w:pPr>
        <w:pStyle w:val="LOnormal"/>
        <w:keepNext w:val="false"/>
        <w:keepLines w:val="false"/>
        <w:pageBreakBefore w:val="false"/>
        <w:widowControl/>
        <w:numPr>
          <w:ilvl w:val="0"/>
          <w:numId w:val="1"/>
        </w:numPr>
        <w:shd w:val="clear" w:fill="auto"/>
        <w:spacing w:lineRule="auto" w:line="360" w:before="0" w:after="0"/>
        <w:ind w:left="720" w:right="0" w:hanging="360"/>
        <w:jc w:val="left"/>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8"/>
          <w:sz w:val="28"/>
          <w:szCs w:val="28"/>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8"/>
          <w:sz w:val="28"/>
          <w:szCs w:val="28"/>
          <w:u w:val="none"/>
          <w:shd w:fill="auto" w:val="clear"/>
          <w:vertAlign w:val="baseline"/>
        </w:rPr>
        <w:t xml:space="preserve">Локалізувати місця проживання єврейських та польських родин та значущих об’єктів (синагоги, підприємств) на карті села.  </w:t>
      </w:r>
    </w:p>
    <w:p>
      <w:pPr>
        <w:pStyle w:val="LOnormal"/>
        <w:keepNext w:val="false"/>
        <w:keepLines w:val="false"/>
        <w:pageBreakBefore w:val="false"/>
        <w:widowControl/>
        <w:numPr>
          <w:ilvl w:val="0"/>
          <w:numId w:val="1"/>
        </w:numPr>
        <w:shd w:val="clear" w:fill="auto"/>
        <w:spacing w:lineRule="auto" w:line="360" w:before="0" w:after="200"/>
        <w:ind w:left="720" w:right="0" w:hanging="360"/>
        <w:jc w:val="left"/>
        <w:rPr>
          <w:rFonts w:ascii="Times New Roman" w:hAnsi="Times New Roman" w:eastAsia="Times New Roman" w:cs="Times New Roman"/>
          <w:b w:val="false"/>
          <w:b w:val="false"/>
          <w:bCs w:val="false"/>
          <w:i w:val="false"/>
          <w:i w:val="false"/>
          <w:iCs w:val="false"/>
          <w:caps w:val="false"/>
          <w:smallCaps w:val="false"/>
          <w:strike w:val="false"/>
          <w:dstrike w:val="false"/>
          <w:color w:val="000000"/>
          <w:position w:val="0"/>
          <w:sz w:val="28"/>
          <w:sz w:val="28"/>
          <w:szCs w:val="28"/>
          <w:u w:val="none"/>
          <w:shd w:fill="auto" w:val="clear"/>
          <w:vertAlign w:val="baseline"/>
        </w:rPr>
      </w:pPr>
      <w:r>
        <w:rPr>
          <w:rFonts w:eastAsia="Times New Roman" w:cs="Times New Roman" w:ascii="Times New Roman" w:hAnsi="Times New Roman"/>
          <w:b w:val="false"/>
          <w:bCs w:val="false"/>
          <w:i w:val="false"/>
          <w:iCs w:val="false"/>
          <w:caps w:val="false"/>
          <w:smallCaps w:val="false"/>
          <w:strike w:val="false"/>
          <w:dstrike w:val="false"/>
          <w:color w:val="000000"/>
          <w:position w:val="0"/>
          <w:sz w:val="28"/>
          <w:sz w:val="28"/>
          <w:szCs w:val="28"/>
          <w:u w:val="none"/>
          <w:shd w:fill="auto" w:val="clear"/>
          <w:vertAlign w:val="baseline"/>
        </w:rPr>
        <w:t xml:space="preserve">Проаналізувати лексичні одиниці єврейського та польського походження, що збереглися у місцевій говірці.  </w:t>
      </w:r>
    </w:p>
    <w:p>
      <w:pPr>
        <w:pStyle w:val="LOnormal"/>
        <w:spacing w:lineRule="auto" w:line="360"/>
        <w:rPr>
          <w:rFonts w:ascii="Times New Roman" w:hAnsi="Times New Roman" w:eastAsia="Times New Roman" w:cs="Times New Roman"/>
          <w:sz w:val="28"/>
          <w:szCs w:val="28"/>
        </w:rPr>
      </w:pPr>
      <w:r>
        <w:rPr>
          <w:rFonts w:eastAsia="Times New Roman" w:cs="Times New Roman" w:ascii="Times New Roman" w:hAnsi="Times New Roman"/>
          <w:b/>
          <w:bCs/>
          <w:sz w:val="28"/>
          <w:szCs w:val="28"/>
        </w:rPr>
        <w:t xml:space="preserve">Методи дослідження: </w:t>
      </w:r>
      <w:r>
        <w:rPr>
          <w:rFonts w:eastAsia="Times New Roman" w:cs="Times New Roman" w:ascii="Times New Roman" w:hAnsi="Times New Roman"/>
          <w:sz w:val="28"/>
          <w:szCs w:val="28"/>
        </w:rPr>
        <w:t xml:space="preserve">теоретичний аналіз літератури; інтерв'ювання очевидців (опитано 4 старожилів віком 85–98 років); візуальне обстеження та фотофіксація єврейських та польських поховальних пам’яток; метод картографування на основі Google Maps; етимологічний аналіз лексики.  </w:t>
      </w:r>
    </w:p>
    <w:p>
      <w:pPr>
        <w:pStyle w:val="LOnormal"/>
        <w:spacing w:lineRule="auto" w:line="360"/>
        <w:rPr>
          <w:rFonts w:ascii="Times New Roman" w:hAnsi="Times New Roman" w:eastAsia="Times New Roman" w:cs="Times New Roman"/>
          <w:b/>
          <w:b/>
          <w:bCs/>
          <w:sz w:val="28"/>
          <w:szCs w:val="28"/>
        </w:rPr>
      </w:pPr>
      <w:r>
        <w:rPr>
          <w:rFonts w:eastAsia="Times New Roman" w:cs="Times New Roman" w:ascii="Times New Roman" w:hAnsi="Times New Roman"/>
          <w:b/>
          <w:bCs/>
          <w:sz w:val="28"/>
          <w:szCs w:val="28"/>
        </w:rPr>
        <w:t>Короткий зміст та результати:</w:t>
      </w:r>
    </w:p>
    <w:p>
      <w:pPr>
        <w:pStyle w:val="LOnormal"/>
        <w:spacing w:lineRule="auto" w:line="360"/>
        <w:rPr>
          <w:rFonts w:ascii="Times New Roman" w:hAnsi="Times New Roman" w:eastAsia="Times New Roman" w:cs="Times New Roman"/>
          <w:sz w:val="28"/>
          <w:szCs w:val="28"/>
        </w:rPr>
      </w:pPr>
      <w:r>
        <w:rPr>
          <w:rFonts w:eastAsia="Times New Roman" w:cs="Times New Roman" w:ascii="Times New Roman" w:hAnsi="Times New Roman"/>
          <w:sz w:val="28"/>
          <w:szCs w:val="28"/>
        </w:rPr>
        <w:t>У ході роботи встановлено, що єврейська та польська громади (яка наприкінці ХІХ ст. налічувала відповідно близько 100 та</w:t>
      </w:r>
      <w:r>
        <w:rPr>
          <w:rFonts w:eastAsia="Times New Roman" w:cs="Times New Roman" w:ascii="Times New Roman" w:hAnsi="Times New Roman"/>
          <w:sz w:val="28"/>
          <w:szCs w:val="28"/>
          <w:lang w:val="uk-UA"/>
        </w:rPr>
        <w:t xml:space="preserve"> 50 </w:t>
      </w:r>
      <w:r>
        <w:rPr>
          <w:rFonts w:eastAsia="Times New Roman" w:cs="Times New Roman" w:ascii="Times New Roman" w:hAnsi="Times New Roman"/>
          <w:sz w:val="28"/>
          <w:szCs w:val="28"/>
        </w:rPr>
        <w:t>осіб) була потужним рушієм економіки села. Вона контролювала ключові торговельні та промислові об'єкти: заїжджий двір, крамниці з європейськими товарами, господарський двір, молочарню, млини та тартаки. Зокрема, діяльність власника пилорами Тайхера сприяла виходу місцевої деревини на міжнародний ринок (експорт до Англії).</w:t>
      </w:r>
    </w:p>
    <w:p>
      <w:pPr>
        <w:pStyle w:val="LOnormal"/>
        <w:spacing w:lineRule="auto" w:line="360"/>
        <w:rPr>
          <w:rFonts w:ascii="Times New Roman" w:hAnsi="Times New Roman" w:eastAsia="Times New Roman" w:cs="Times New Roman"/>
          <w:sz w:val="28"/>
          <w:szCs w:val="28"/>
        </w:rPr>
      </w:pPr>
      <w:r>
        <w:rPr>
          <w:rFonts w:eastAsia="Times New Roman" w:cs="Times New Roman" w:ascii="Times New Roman" w:hAnsi="Times New Roman"/>
          <w:sz w:val="28"/>
          <w:szCs w:val="28"/>
        </w:rPr>
        <w:t>За спогадами очевидців, співжиття було добросусідським: діти різних національностей разом відвідували школу. На основі свідчень проведено картографічну реконструкцію місць проживання єврейських та польських родин, костелу, синагоги й тартаків.</w:t>
      </w:r>
    </w:p>
    <w:p>
      <w:pPr>
        <w:pStyle w:val="LOnormal"/>
        <w:spacing w:lineRule="auto" w:line="360"/>
        <w:rPr>
          <w:rFonts w:ascii="Times New Roman" w:hAnsi="Times New Roman" w:eastAsia="Times New Roman" w:cs="Times New Roman"/>
          <w:sz w:val="28"/>
          <w:szCs w:val="28"/>
        </w:rPr>
      </w:pPr>
      <w:r>
        <w:rPr>
          <w:rFonts w:eastAsia="Times New Roman" w:cs="Times New Roman" w:ascii="Times New Roman" w:hAnsi="Times New Roman"/>
          <w:sz w:val="28"/>
          <w:szCs w:val="28"/>
        </w:rPr>
        <w:t>Особливу увагу приділено лінгвістичному аспекту. Виявлено та проаналізовано низку слів, які й сьогодні активно вживаються у Тур’є: «гендель», «магарич», «шахер-махер», «шмотки», «файний», «хохма» та інші. Доведено, що ці слова потрапили до місцевого діалекту через тісні побутові та господарські контакти з єврейським та польським населенням.</w:t>
      </w:r>
    </w:p>
    <w:p>
      <w:pPr>
        <w:pStyle w:val="LOnormal"/>
        <w:spacing w:lineRule="auto" w:line="360" w:before="0" w:after="200"/>
        <w:rPr>
          <w:rFonts w:ascii="Times New Roman" w:hAnsi="Times New Roman" w:eastAsia="Times New Roman" w:cs="Times New Roman"/>
          <w:sz w:val="28"/>
          <w:szCs w:val="28"/>
        </w:rPr>
      </w:pPr>
      <w:bookmarkStart w:id="0" w:name="_heading=h.t58cyrybtd27"/>
      <w:bookmarkEnd w:id="0"/>
      <w:r>
        <w:rPr>
          <w:rFonts w:eastAsia="Times New Roman" w:cs="Times New Roman" w:ascii="Times New Roman" w:hAnsi="Times New Roman"/>
          <w:b/>
          <w:bCs/>
          <w:sz w:val="28"/>
          <w:szCs w:val="28"/>
        </w:rPr>
        <w:t>Висновки:</w:t>
      </w:r>
      <w:r>
        <w:rPr>
          <w:rFonts w:eastAsia="Times New Roman" w:cs="Times New Roman" w:ascii="Times New Roman" w:hAnsi="Times New Roman"/>
          <w:sz w:val="28"/>
          <w:szCs w:val="28"/>
        </w:rPr>
        <w:t xml:space="preserve"> Дослідження підтверджує, що єврейська та польська громади були органічною та важливою частиною соціокультурного простору села, а її спадщина продовжує жити в усній традиції та пам'яті мешканців Тур’є.</w:t>
      </w:r>
    </w:p>
    <w:sectPr>
      <w:type w:val="nextPage"/>
      <w:pgSz w:w="11906" w:h="16838"/>
      <w:pgMar w:left="1417" w:right="850" w:gutter="0" w:header="0" w:top="850" w:footer="0" w:bottom="85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Symbol">
    <w:charset w:val="02"/>
    <w:family w:val="roman"/>
    <w:pitch w:val="variable"/>
    <w:embedRegular r:id="rId5" w:fontKey="{05014A78-CABC-4EF0-12AC-5CD89AEFDE05}"/>
  </w:font>
  <w:font w:name="Arial">
    <w:charset w:val="00"/>
    <w:family w:val="swiss"/>
    <w:pitch w:val="variable"/>
    <w:embedRegular r:id="rId6" w:fontKey="{06014A78-CABC-4EF0-12AC-5CD89AEFDE06}"/>
    <w:embedBold r:id="rId7" w:fontKey="{07014A78-CABC-4EF0-12AC-5CD89AEFDE07}"/>
    <w:embedItalic r:id="rId8" w:fontKey="{08014A78-CABC-4EF0-12AC-5CD89AEFDE08}"/>
    <w:embedBoldItalic r:id="rId9" w:fontKey="{09014A78-CABC-4EF0-12AC-5CD89AEFDE09}"/>
  </w:font>
  <w:font w:name="Liberation Serif">
    <w:altName w:val="Times New Roman"/>
    <w:charset w:val="cc"/>
    <w:family w:val="roman"/>
    <w:pitch w:val="variable"/>
    <w:embedRegular r:id="rId10" w:fontKey="{0A014A78-CABC-4EF0-12AC-5CD89AEFDE0A}"/>
    <w:embedBold r:id="rId11" w:fontKey="{0B014A78-CABC-4EF0-12AC-5CD89AEFDE0B}"/>
    <w:embedItalic r:id="rId12" w:fontKey="{0C014A78-CABC-4EF0-12AC-5CD89AEFDE0C}"/>
    <w:embedBoldItalic r:id="rId13" w:fontKey="{0D014A78-CABC-4EF0-12AC-5CD89AEFDE0D}"/>
  </w:font>
  <w:font w:name="Calibri">
    <w:charset w:val="cc"/>
    <w:family w:val="roman"/>
    <w:pitch w:val="variable"/>
  </w:font>
  <w:font w:name="Liberation Sans">
    <w:altName w:val="Arial"/>
    <w:charset w:val="cc"/>
    <w:family w:val="roman"/>
    <w:pitch w:val="variable"/>
  </w:font>
  <w:font w:name="Georgia">
    <w:charset w:val="cc"/>
    <w:family w:val="roman"/>
    <w:pitch w:val="variable"/>
    <w:embedRegular r:id="rId14" w:fontKey="{0E014A78-CABC-4EF0-12AC-5CD89AEFDE0E}"/>
    <w:embedBold r:id="rId15" w:fontKey="{0F014A78-CABC-4EF0-12AC-5CD89AEFDE0F}"/>
    <w:embedItalic r:id="rId16" w:fontKey="{10014A78-CABC-4EF0-12AC-5CD89AEFDE10}"/>
    <w:embedBoldItalic r:id="rId17" w:fontKey="{11014A78-CABC-4EF0-12AC-5CD89AEFDE11}"/>
  </w:font>
  <w:font w:name="Times New Roman">
    <w:charset w:val="cc"/>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81"/>
  <w:embedTrueTypeFonts/>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sz w:val="22"/>
        <w:szCs w:val="22"/>
        <w:lang w:val="ru-RU" w:eastAsia="zh-CN" w:bidi="hi-IN"/>
      </w:rPr>
    </w:rPrDefault>
    <w:pPrDefault>
      <w:pPr>
        <w:suppressAutoHyphens w:val="true"/>
      </w:pPr>
    </w:pPrDefault>
  </w:docDefaults>
  <w:style w:type="paragraph" w:styleId="Normal">
    <w:name w:val="Normal"/>
    <w:qFormat/>
    <w:pPr>
      <w:widowControl/>
      <w:suppressAutoHyphens w:val="true"/>
      <w:bidi w:val="0"/>
      <w:spacing w:lineRule="auto" w:line="276" w:before="0" w:after="200"/>
      <w:jc w:val="left"/>
    </w:pPr>
    <w:rPr>
      <w:rFonts w:ascii="Calibri" w:hAnsi="Calibri" w:eastAsia="Calibri" w:cs="Calibri"/>
      <w:color w:val="auto"/>
      <w:kern w:val="0"/>
      <w:sz w:val="22"/>
      <w:szCs w:val="22"/>
      <w:lang w:val="ru-RU" w:eastAsia="zh-CN" w:bidi="hi-IN"/>
    </w:rPr>
  </w:style>
  <w:style w:type="paragraph" w:styleId="1">
    <w:name w:val="Heading 1"/>
    <w:basedOn w:val="LOnormal"/>
    <w:next w:val="LOnormal"/>
    <w:qFormat/>
    <w:pPr>
      <w:keepNext w:val="true"/>
      <w:keepLines/>
      <w:pageBreakBefore w:val="false"/>
      <w:spacing w:lineRule="auto" w:line="240" w:before="480" w:after="120"/>
    </w:pPr>
    <w:rPr>
      <w:b/>
      <w:bCs/>
      <w:sz w:val="48"/>
      <w:szCs w:val="48"/>
    </w:rPr>
  </w:style>
  <w:style w:type="paragraph" w:styleId="2">
    <w:name w:val="Heading 2"/>
    <w:basedOn w:val="LOnormal"/>
    <w:next w:val="LOnormal"/>
    <w:qFormat/>
    <w:pPr>
      <w:keepNext w:val="true"/>
      <w:keepLines/>
      <w:pageBreakBefore w:val="false"/>
      <w:spacing w:lineRule="auto" w:line="240" w:before="360" w:after="80"/>
    </w:pPr>
    <w:rPr>
      <w:b/>
      <w:bCs/>
      <w:sz w:val="36"/>
      <w:szCs w:val="36"/>
    </w:rPr>
  </w:style>
  <w:style w:type="paragraph" w:styleId="3">
    <w:name w:val="Heading 3"/>
    <w:basedOn w:val="LOnormal"/>
    <w:next w:val="LOnormal"/>
    <w:qFormat/>
    <w:pPr>
      <w:keepNext w:val="true"/>
      <w:keepLines/>
      <w:pageBreakBefore w:val="false"/>
      <w:spacing w:lineRule="auto" w:line="240" w:before="280" w:after="80"/>
    </w:pPr>
    <w:rPr>
      <w:b/>
      <w:bCs/>
      <w:sz w:val="28"/>
      <w:szCs w:val="28"/>
    </w:rPr>
  </w:style>
  <w:style w:type="paragraph" w:styleId="4">
    <w:name w:val="Heading 4"/>
    <w:basedOn w:val="LOnormal"/>
    <w:next w:val="LOnormal"/>
    <w:qFormat/>
    <w:pPr>
      <w:keepNext w:val="true"/>
      <w:keepLines/>
      <w:pageBreakBefore w:val="false"/>
      <w:spacing w:lineRule="auto" w:line="240" w:before="240" w:after="40"/>
    </w:pPr>
    <w:rPr>
      <w:b/>
      <w:bCs/>
      <w:sz w:val="24"/>
      <w:szCs w:val="24"/>
    </w:rPr>
  </w:style>
  <w:style w:type="paragraph" w:styleId="5">
    <w:name w:val="Heading 5"/>
    <w:basedOn w:val="LOnormal"/>
    <w:next w:val="LOnormal"/>
    <w:qFormat/>
    <w:pPr>
      <w:keepNext w:val="true"/>
      <w:keepLines/>
      <w:pageBreakBefore w:val="false"/>
      <w:spacing w:lineRule="auto" w:line="240" w:before="220" w:after="40"/>
    </w:pPr>
    <w:rPr>
      <w:b/>
      <w:bCs/>
      <w:sz w:val="22"/>
      <w:szCs w:val="22"/>
    </w:rPr>
  </w:style>
  <w:style w:type="paragraph" w:styleId="6">
    <w:name w:val="Heading 6"/>
    <w:basedOn w:val="LOnormal"/>
    <w:next w:val="LOnormal"/>
    <w:qFormat/>
    <w:pPr>
      <w:keepNext w:val="true"/>
      <w:keepLines/>
      <w:pageBreakBefore w:val="false"/>
      <w:spacing w:lineRule="auto" w:line="240" w:before="200" w:after="40"/>
    </w:pPr>
    <w:rPr>
      <w:b/>
      <w:bCs/>
      <w:sz w:val="20"/>
      <w:szCs w:val="20"/>
    </w:rPr>
  </w:style>
  <w:style w:type="paragraph" w:styleId="Style8">
    <w:name w:val="Заголовок"/>
    <w:basedOn w:val="Normal"/>
    <w:next w:val="Style9"/>
    <w:qFormat/>
    <w:pPr>
      <w:keepNext w:val="true"/>
      <w:spacing w:before="240" w:after="120"/>
    </w:pPr>
    <w:rPr>
      <w:rFonts w:ascii="Liberation Sans" w:hAnsi="Liberation Sans" w:eastAsia="Microsoft YaHei" w:cs="Arial"/>
      <w:sz w:val="28"/>
      <w:szCs w:val="28"/>
    </w:rPr>
  </w:style>
  <w:style w:type="paragraph" w:styleId="Style9">
    <w:name w:val="Body Text"/>
    <w:basedOn w:val="Normal"/>
    <w:pPr>
      <w:spacing w:lineRule="auto" w:line="276" w:before="0" w:after="140"/>
    </w:pPr>
    <w:rPr/>
  </w:style>
  <w:style w:type="paragraph" w:styleId="Style10">
    <w:name w:val="List"/>
    <w:basedOn w:val="Style9"/>
    <w:pPr/>
    <w:rPr>
      <w:rFonts w:cs="Arial"/>
    </w:rPr>
  </w:style>
  <w:style w:type="paragraph" w:styleId="Style11">
    <w:name w:val="Caption"/>
    <w:basedOn w:val="Normal"/>
    <w:qFormat/>
    <w:pPr>
      <w:suppressLineNumbers/>
      <w:spacing w:before="120" w:after="120"/>
    </w:pPr>
    <w:rPr>
      <w:rFonts w:cs="Arial"/>
      <w:i/>
      <w:iCs/>
      <w:sz w:val="24"/>
      <w:szCs w:val="24"/>
    </w:rPr>
  </w:style>
  <w:style w:type="paragraph" w:styleId="Style12">
    <w:name w:val="Покажчик"/>
    <w:basedOn w:val="Normal"/>
    <w:qFormat/>
    <w:pPr>
      <w:suppressLineNumbers/>
    </w:pPr>
    <w:rPr>
      <w:rFonts w:cs="Arial"/>
      <w:lang w:val="zxx" w:eastAsia="zxx" w:bidi="zxx"/>
    </w:rPr>
  </w:style>
  <w:style w:type="paragraph" w:styleId="LOnormal" w:default="1">
    <w:name w:val="LO-normal"/>
    <w:qFormat/>
    <w:pPr>
      <w:widowControl/>
      <w:suppressAutoHyphens w:val="true"/>
      <w:bidi w:val="0"/>
      <w:spacing w:lineRule="auto" w:line="276" w:before="0" w:after="200"/>
      <w:jc w:val="left"/>
    </w:pPr>
    <w:rPr>
      <w:rFonts w:ascii="Calibri" w:hAnsi="Calibri" w:eastAsia="Calibri" w:cs="Calibri"/>
      <w:color w:val="auto"/>
      <w:kern w:val="0"/>
      <w:sz w:val="22"/>
      <w:szCs w:val="22"/>
      <w:lang w:val="ru-RU" w:eastAsia="zh-CN" w:bidi="hi-IN"/>
    </w:rPr>
  </w:style>
  <w:style w:type="paragraph" w:styleId="Style13">
    <w:name w:val="Title"/>
    <w:basedOn w:val="LOnormal"/>
    <w:next w:val="LOnormal"/>
    <w:qFormat/>
    <w:pPr>
      <w:keepNext w:val="true"/>
      <w:keepLines/>
      <w:pageBreakBefore w:val="false"/>
      <w:spacing w:lineRule="auto" w:line="240" w:before="480" w:after="120"/>
    </w:pPr>
    <w:rPr>
      <w:b/>
      <w:bCs/>
      <w:sz w:val="72"/>
      <w:szCs w:val="72"/>
    </w:rPr>
  </w:style>
  <w:style w:type="paragraph" w:styleId="Style14">
    <w:name w:val="Subtitle"/>
    <w:basedOn w:val="LOnormal"/>
    <w:next w:val="LOnormal"/>
    <w:qFormat/>
    <w:pPr>
      <w:keepNext w:val="true"/>
      <w:keepLines/>
      <w:pageBreakBefore w:val="false"/>
      <w:spacing w:lineRule="auto" w:line="240" w:before="360" w:after="80"/>
    </w:pPr>
    <w:rPr>
      <w:rFonts w:ascii="Georgia" w:hAnsi="Georgia" w:eastAsia="Georgia" w:cs="Georgia"/>
      <w:i/>
      <w:iCs/>
      <w:color w:val="666666"/>
      <w:sz w:val="48"/>
      <w:szCs w:val="48"/>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Relationship Id="rId12" Type="http://schemas.openxmlformats.org/officeDocument/2006/relationships/font" Target="fonts/font12.odttf"/><Relationship Id="rId13" Type="http://schemas.openxmlformats.org/officeDocument/2006/relationships/font" Target="fonts/font13.odttf"/><Relationship Id="rId14" Type="http://schemas.openxmlformats.org/officeDocument/2006/relationships/font" Target="fonts/font14.odttf"/><Relationship Id="rId15" Type="http://schemas.openxmlformats.org/officeDocument/2006/relationships/font" Target="fonts/font15.odttf"/><Relationship Id="rId16" Type="http://schemas.openxmlformats.org/officeDocument/2006/relationships/font" Target="fonts/font16.odttf"/><Relationship Id="rId17" Type="http://schemas.openxmlformats.org/officeDocument/2006/relationships/font" Target="fonts/font17.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iS+hpHIimDui8VFG1ha7EKr9UPGg==">CgMxLjAyDmgudDU4Y3lyeWJ0ZDI3OAByITFwVUFveGdxaGtvWHpjRmlkRjh6aTZwX09sc2lzNDdCUA==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
  <TotalTime>7</TotalTime>
  <Application>LibreOffice/7.2.2.2$Windows_X86_64 LibreOffice_project/02b2acce88a210515b4a5bb2e46cbfb63fe97d56</Application>
  <AppVersion>15.0000</AppVersion>
  <Pages>2</Pages>
  <Words>397</Words>
  <Characters>2769</Characters>
  <CharactersWithSpaces>3154</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uk-UA</dc:language>
  <cp:lastModifiedBy/>
  <dcterms:modified xsi:type="dcterms:W3CDTF">2026-04-20T21:53:26Z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