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17"/>
        <w:bidi w:val="0"/>
        <w:spacing w:lineRule="auto" w:line="360"/>
        <w:ind w:firstLine="360"/>
        <w:jc w:val="center"/>
        <w:rPr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Тези творчої роботи</w:t>
      </w:r>
    </w:p>
    <w:p>
      <w:pPr>
        <w:pStyle w:val="Style17"/>
        <w:bidi w:val="0"/>
        <w:spacing w:lineRule="auto" w:line="360"/>
        <w:ind w:firstLine="360"/>
        <w:jc w:val="center"/>
        <w:rPr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Тема проєкту</w:t>
      </w:r>
      <w:r>
        <w:rPr>
          <w:rStyle w:val="1"/>
          <w:rFonts w:ascii="Times New Roman" w:hAnsi="Times New Roman"/>
          <w:color w:val="000000"/>
          <w:sz w:val="28"/>
          <w:szCs w:val="28"/>
        </w:rPr>
        <w:t xml:space="preserve">: «Склеп Руліковських у селі Бродець як приклад взаємного впливу польської та поліської культур» 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/>
        <w:ind w:start="0" w:hanging="0"/>
        <w:jc w:val="both"/>
        <w:rPr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Дані про  автора:</w:t>
      </w:r>
      <w:r>
        <w:rPr>
          <w:rStyle w:val="1"/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 Гузич Руслана Русланівна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/>
        <w:ind w:start="0" w:hanging="0"/>
        <w:jc w:val="both"/>
        <w:rPr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Клас</w:t>
      </w:r>
      <w:r>
        <w:rPr>
          <w:rStyle w:val="1"/>
          <w:rFonts w:ascii="Times New Roman" w:hAnsi="Times New Roman"/>
          <w:b w:val="false"/>
          <w:bCs w:val="false"/>
          <w:color w:val="000000"/>
          <w:sz w:val="28"/>
          <w:szCs w:val="28"/>
        </w:rPr>
        <w:t>: 9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/>
        <w:ind w:start="0" w:hanging="0"/>
        <w:jc w:val="both"/>
        <w:rPr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>Назва закладу освіти</w:t>
      </w:r>
      <w:r>
        <w:rPr>
          <w:rStyle w:val="1"/>
          <w:rFonts w:ascii="Times New Roman" w:hAnsi="Times New Roman"/>
          <w:color w:val="000000"/>
          <w:sz w:val="28"/>
          <w:szCs w:val="28"/>
        </w:rPr>
        <w:t>: Туменський ліцей Висоцької сільської ради Сарненського району Рівненської області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/>
        <w:ind w:start="0" w:hanging="0"/>
        <w:jc w:val="both"/>
        <w:rPr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Назва територіального відділення МАНУ: </w:t>
      </w:r>
      <w:r>
        <w:rPr>
          <w:rStyle w:val="1"/>
          <w:rFonts w:ascii="Times New Roman" w:hAnsi="Times New Roman"/>
          <w:b w:val="false"/>
          <w:bCs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Рівненське територіальне відділення МАН України.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707" w:leader="none"/>
        </w:tabs>
        <w:bidi w:val="0"/>
        <w:spacing w:lineRule="auto" w:line="360" w:before="0" w:after="0"/>
        <w:ind w:start="0" w:hanging="0"/>
        <w:jc w:val="start"/>
        <w:rPr>
          <w:rFonts w:ascii="Times New Roman" w:hAnsi="Times New Roman"/>
          <w:b w:val="false"/>
          <w:b w:val="false"/>
          <w:i w:val="false"/>
          <w:i w:val="false"/>
          <w:caps w:val="false"/>
          <w:smallCaps w:val="false"/>
          <w:color w:val="303030"/>
          <w:spacing w:val="0"/>
          <w:sz w:val="28"/>
          <w:szCs w:val="28"/>
        </w:rPr>
      </w:pPr>
      <w:r>
        <w:rPr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Населений пункт: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с. Тумень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/>
        <w:ind w:start="0" w:hanging="0"/>
        <w:jc w:val="both"/>
        <w:rPr>
          <w:sz w:val="28"/>
          <w:szCs w:val="28"/>
        </w:rPr>
      </w:pPr>
      <w:r>
        <w:rPr>
          <w:rStyle w:val="1"/>
          <w:rFonts w:ascii="Times New Roman" w:hAnsi="Times New Roman"/>
          <w:b/>
          <w:bCs/>
          <w:i w:val="false"/>
          <w:caps w:val="false"/>
          <w:smallCaps w:val="false"/>
          <w:color w:val="303030"/>
          <w:spacing w:val="0"/>
          <w:sz w:val="28"/>
          <w:szCs w:val="28"/>
        </w:rPr>
        <w:t>Керівник проєкту:</w:t>
      </w:r>
      <w:r>
        <w:rPr>
          <w:rStyle w:val="1"/>
          <w:rFonts w:ascii="Times New Roman" w:hAnsi="Times New Roman"/>
          <w:b w:val="false"/>
          <w:bCs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Діжурко Олена Адамівна, вчитель історії Туменського ліцею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/>
        <w:ind w:start="0" w:hanging="0"/>
        <w:jc w:val="start"/>
        <w:rPr>
          <w:sz w:val="28"/>
          <w:szCs w:val="28"/>
        </w:rPr>
      </w:pPr>
      <w:r>
        <w:rPr>
          <w:rStyle w:val="Style14"/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  <w:lang w:val="en-US"/>
        </w:rPr>
        <w:t>М</w:t>
      </w:r>
      <w:r>
        <w:rPr>
          <w:rStyle w:val="Style14"/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  <w:lang w:val="uk-UA"/>
        </w:rPr>
        <w:t>ета</w:t>
      </w:r>
      <w:r>
        <w:rPr>
          <w:rStyle w:val="Style14"/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 дослідження</w:t>
      </w:r>
      <w:r>
        <w:rPr>
          <w:rStyle w:val="Style14"/>
          <w:rFonts w:ascii="Times New Roman" w:hAnsi="Times New Roman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: </w:t>
      </w:r>
      <w:r>
        <w:rPr>
          <w:rStyle w:val="1"/>
          <w:rFonts w:ascii="Times New Roman" w:hAnsi="Times New Roman"/>
          <w:b w:val="false"/>
          <w:bCs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дослідити склеп Руліковських у селі Бродець як пам’ятку меморіальної архітектури та з’ясувати, як у ньому поєдналися елементи польської та поліської культур. 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/>
        <w:ind w:start="0" w:hanging="0"/>
        <w:jc w:val="start"/>
        <w:rPr>
          <w:sz w:val="28"/>
          <w:szCs w:val="28"/>
        </w:rPr>
      </w:pPr>
      <w:r>
        <w:rPr>
          <w:rStyle w:val="Style14"/>
          <w:rFonts w:ascii="Times New Roman" w:hAnsi="Times New Roman"/>
          <w:b/>
          <w:i w:val="false"/>
          <w:caps w:val="false"/>
          <w:smallCaps w:val="false"/>
          <w:color w:val="303030"/>
          <w:spacing w:val="0"/>
          <w:sz w:val="28"/>
          <w:szCs w:val="28"/>
        </w:rPr>
        <w:t>Завдання дослідження</w:t>
      </w:r>
      <w:r>
        <w:rPr>
          <w:rStyle w:val="Style14"/>
          <w:rFonts w:ascii="Times New Roman" w:hAnsi="Times New Roman"/>
          <w:i w:val="false"/>
          <w:caps w:val="false"/>
          <w:smallCaps w:val="false"/>
          <w:color w:val="303030"/>
          <w:spacing w:val="0"/>
          <w:sz w:val="28"/>
          <w:szCs w:val="28"/>
        </w:rPr>
        <w:t>:</w:t>
      </w:r>
    </w:p>
    <w:p>
      <w:pPr>
        <w:pStyle w:val="Style17"/>
        <w:numPr>
          <w:ilvl w:val="0"/>
          <w:numId w:val="1"/>
        </w:numPr>
        <w:tabs>
          <w:tab w:val="clear" w:pos="709"/>
          <w:tab w:val="left" w:pos="707" w:leader="none"/>
        </w:tabs>
        <w:bidi w:val="0"/>
        <w:spacing w:lineRule="auto" w:line="360" w:before="0" w:after="0"/>
        <w:ind w:start="707" w:hanging="283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Зібрати інформацію про історію створення склепу Руліковських (1895 р.). </w:t>
      </w:r>
    </w:p>
    <w:p>
      <w:pPr>
        <w:pStyle w:val="Style17"/>
        <w:numPr>
          <w:ilvl w:val="0"/>
          <w:numId w:val="8"/>
        </w:numPr>
        <w:tabs>
          <w:tab w:val="clear" w:pos="709"/>
          <w:tab w:val="left" w:pos="707" w:leader="none"/>
        </w:tabs>
        <w:bidi w:val="0"/>
        <w:spacing w:lineRule="auto" w:line="360" w:before="0" w:after="0"/>
        <w:ind w:start="707" w:hanging="283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Дослідити архітектурні особливості пам’ятника (форма дуба, структура кори тощо). </w:t>
      </w:r>
    </w:p>
    <w:p>
      <w:pPr>
        <w:pStyle w:val="Style17"/>
        <w:numPr>
          <w:ilvl w:val="0"/>
          <w:numId w:val="9"/>
        </w:numPr>
        <w:tabs>
          <w:tab w:val="clear" w:pos="709"/>
          <w:tab w:val="left" w:pos="707" w:leader="none"/>
        </w:tabs>
        <w:bidi w:val="0"/>
        <w:spacing w:lineRule="auto" w:line="360" w:before="0" w:after="0"/>
        <w:ind w:start="707" w:hanging="283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Проаналізувати символіку дуба в польській та поліській традиціях. </w:t>
      </w:r>
    </w:p>
    <w:p>
      <w:pPr>
        <w:pStyle w:val="Style17"/>
        <w:numPr>
          <w:ilvl w:val="0"/>
          <w:numId w:val="10"/>
        </w:numPr>
        <w:tabs>
          <w:tab w:val="clear" w:pos="709"/>
          <w:tab w:val="left" w:pos="707" w:leader="none"/>
        </w:tabs>
        <w:bidi w:val="0"/>
        <w:spacing w:lineRule="auto" w:line="360" w:before="0" w:after="0"/>
        <w:ind w:start="707" w:hanging="283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Визначити, які риси польської культури відображені у склепі. </w:t>
      </w:r>
    </w:p>
    <w:p>
      <w:pPr>
        <w:pStyle w:val="Style17"/>
        <w:numPr>
          <w:ilvl w:val="0"/>
          <w:numId w:val="11"/>
        </w:numPr>
        <w:tabs>
          <w:tab w:val="clear" w:pos="709"/>
          <w:tab w:val="left" w:pos="707" w:leader="none"/>
        </w:tabs>
        <w:bidi w:val="0"/>
        <w:spacing w:lineRule="auto" w:line="360" w:before="0" w:after="0"/>
        <w:ind w:start="707" w:hanging="283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З’ясувати, які елементи належать до місцевої (поліської) народної традиції. </w:t>
      </w:r>
    </w:p>
    <w:p>
      <w:pPr>
        <w:pStyle w:val="Style17"/>
        <w:numPr>
          <w:ilvl w:val="0"/>
          <w:numId w:val="12"/>
        </w:numPr>
        <w:tabs>
          <w:tab w:val="clear" w:pos="709"/>
          <w:tab w:val="left" w:pos="707" w:leader="none"/>
        </w:tabs>
        <w:bidi w:val="0"/>
        <w:spacing w:lineRule="auto" w:line="360"/>
        <w:ind w:start="707" w:hanging="283"/>
        <w:jc w:val="start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Показати взаємний вплив культур на прикладі цієї пам’ятки.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/>
        <w:ind w:start="0" w:hanging="0"/>
        <w:jc w:val="start"/>
        <w:rPr>
          <w:sz w:val="28"/>
          <w:szCs w:val="28"/>
        </w:rPr>
      </w:pPr>
      <w:r>
        <w:rPr>
          <w:rStyle w:val="Style14"/>
          <w:rFonts w:ascii="Times New Roman" w:hAnsi="Times New Roman"/>
          <w:i w:val="false"/>
          <w:caps w:val="false"/>
          <w:smallCaps w:val="false"/>
          <w:color w:val="303030"/>
          <w:spacing w:val="0"/>
          <w:sz w:val="28"/>
          <w:szCs w:val="28"/>
        </w:rPr>
        <w:t xml:space="preserve">Об’єкт дослідження: </w:t>
      </w:r>
      <w:r>
        <w:rPr>
          <w:rStyle w:val="1"/>
          <w:rFonts w:ascii="Times New Roman" w:hAnsi="Times New Roman"/>
          <w:b w:val="false"/>
          <w:bCs/>
          <w:i w:val="false"/>
          <w:caps w:val="false"/>
          <w:smallCaps w:val="false"/>
          <w:color w:val="303030"/>
          <w:spacing w:val="0"/>
          <w:sz w:val="28"/>
          <w:szCs w:val="28"/>
        </w:rPr>
        <w:t>меморіальні пам’ятки кінця ХІХ століття на території Рівненського Полісся.</w:t>
      </w:r>
    </w:p>
    <w:p>
      <w:pPr>
        <w:pStyle w:val="Style17"/>
        <w:bidi w:val="0"/>
        <w:spacing w:lineRule="auto" w:line="360"/>
        <w:jc w:val="start"/>
        <w:rPr>
          <w:sz w:val="28"/>
          <w:szCs w:val="28"/>
        </w:rPr>
      </w:pPr>
      <w:r>
        <w:rPr>
          <w:rStyle w:val="Style14"/>
          <w:rFonts w:ascii="Times New Roman" w:hAnsi="Times New Roman"/>
          <w:sz w:val="28"/>
          <w:szCs w:val="28"/>
        </w:rPr>
        <w:t xml:space="preserve">Предмет дослідження: </w:t>
      </w:r>
      <w:r>
        <w:rPr>
          <w:rFonts w:ascii="Times New Roman" w:hAnsi="Times New Roman"/>
          <w:sz w:val="28"/>
          <w:szCs w:val="28"/>
        </w:rPr>
        <w:t>архітектурні особливості та символіка склепу Руліковських у селі Бродець як прояв взаємодії польської та поліської культур.</w:t>
      </w:r>
    </w:p>
    <w:p>
      <w:pPr>
        <w:pStyle w:val="Style17"/>
        <w:bidi w:val="0"/>
        <w:spacing w:lineRule="auto" w:line="360"/>
        <w:jc w:val="start"/>
        <w:rPr>
          <w:sz w:val="28"/>
          <w:szCs w:val="28"/>
        </w:rPr>
      </w:pPr>
      <w:r>
        <w:rPr>
          <w:rStyle w:val="Style14"/>
          <w:rFonts w:ascii="Times New Roman" w:hAnsi="Times New Roman"/>
          <w:sz w:val="28"/>
          <w:szCs w:val="28"/>
        </w:rPr>
        <w:t xml:space="preserve">Актуальність роботи. </w:t>
      </w:r>
      <w:r>
        <w:rPr>
          <w:rFonts w:ascii="Times New Roman" w:hAnsi="Times New Roman"/>
          <w:sz w:val="28"/>
          <w:szCs w:val="28"/>
        </w:rPr>
        <w:t xml:space="preserve">Дослідження є актуальним, оскільки на території Рівненського Полісся протягом століть співіснували різні народи, зокрема українці та поляки, що вплинуло на культуру краю. Склеп Руліковських у селі Бродець є маловідомою, але унікальною пам’яткою, яка відображає це культурне поєднання. Вивчення таких об’єктів допомагає краще зрозуміти історію рідного краю, зберегти культурну спадщину та формувати повагу до традицій різних народів. 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930" w:leader="none"/>
        </w:tabs>
        <w:bidi w:val="0"/>
        <w:spacing w:lineRule="auto" w:line="360"/>
        <w:ind w:start="0" w:hanging="0"/>
        <w:jc w:val="both"/>
        <w:rPr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Теоретична частина. 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До 1939 року польська культура мала значний вплив на Рівненщину, зокрема через діяльність заможних землевласників, які будували маєтки та меморіальні споруди. </w:t>
      </w:r>
      <w:r>
        <w:rPr>
          <w:rStyle w:val="1"/>
          <w:rFonts w:ascii="Times New Roman" w:hAnsi="Times New Roman"/>
          <w:b w:val="false"/>
          <w:bCs w:val="false"/>
          <w:color w:val="000000"/>
          <w:sz w:val="28"/>
          <w:szCs w:val="28"/>
        </w:rPr>
        <w:t>Родина Руліковських (зокрема маршалок Фаустин Руліковський) була частиною місцевої еліти, яка, попри свій високий статус, глибоко вкорінилася в поліський ґрунт. Один із представників роду, Едвард Руліковський, був відомим дослідником, який вперше описав унікальні поліські діброви. Дуб у поліській міфології – символ сили, довголіття, зв’язку з природою. «Кам’яний дуб» Руліковських - приклад того, як шляхетська родина використовувала місцеві символи для оформлення власного маєтку.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/>
        <w:ind w:start="0" w:hanging="0"/>
        <w:jc w:val="both"/>
        <w:rPr>
          <w:sz w:val="28"/>
          <w:szCs w:val="28"/>
        </w:rPr>
      </w:pPr>
      <w:r>
        <w:rPr>
          <w:rStyle w:val="1"/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Експериментальна частина. </w:t>
      </w:r>
      <w:r>
        <w:rPr>
          <w:rStyle w:val="1"/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Аналіз архівних джерел і літератури про маєток Руліковських. </w:t>
      </w:r>
      <w:r>
        <w:rPr>
          <w:rFonts w:ascii="Times New Roman" w:hAnsi="Times New Roman"/>
          <w:b w:val="false"/>
          <w:bCs w:val="false"/>
          <w:sz w:val="28"/>
          <w:szCs w:val="28"/>
        </w:rPr>
        <w:t>Фотофіксація «Кам’яного дуба» та його деталей. Порівняння з аналогічними об’єктами меморіальної пластики в Поліссі.</w:t>
      </w:r>
      <w:r>
        <w:rPr>
          <w:rStyle w:val="1"/>
          <w:rFonts w:ascii="Times New Roman" w:hAnsi="Times New Roman"/>
          <w:b w:val="false"/>
          <w:bCs w:val="false"/>
          <w:color w:val="000000"/>
          <w:sz w:val="28"/>
          <w:szCs w:val="28"/>
        </w:rPr>
        <w:t xml:space="preserve"> Вивчення символіки дуба та її роль у культурному середовищі села Бродець.</w:t>
      </w:r>
    </w:p>
    <w:p>
      <w:pPr>
        <w:pStyle w:val="Style17"/>
        <w:numPr>
          <w:ilvl w:val="0"/>
          <w:numId w:val="0"/>
        </w:numPr>
        <w:tabs>
          <w:tab w:val="clear" w:pos="709"/>
          <w:tab w:val="left" w:pos="934" w:leader="none"/>
        </w:tabs>
        <w:bidi w:val="0"/>
        <w:spacing w:lineRule="auto" w:line="360" w:before="0" w:after="140"/>
        <w:ind w:start="0" w:hanging="0"/>
        <w:jc w:val="both"/>
        <w:rPr>
          <w:sz w:val="28"/>
          <w:szCs w:val="28"/>
        </w:rPr>
      </w:pP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   </w:t>
      </w:r>
      <w:r>
        <w:rPr>
          <w:rStyle w:val="1"/>
          <w:rFonts w:ascii="Times New Roman" w:hAnsi="Times New Roman"/>
          <w:b/>
          <w:bCs/>
          <w:color w:val="000000"/>
          <w:sz w:val="28"/>
          <w:szCs w:val="28"/>
        </w:rPr>
        <w:t xml:space="preserve">Висновки. </w:t>
      </w:r>
      <w:r>
        <w:rPr>
          <w:rFonts w:ascii="Times New Roman" w:hAnsi="Times New Roman"/>
          <w:sz w:val="28"/>
          <w:szCs w:val="28"/>
        </w:rPr>
        <w:t xml:space="preserve">«Кам’яний дуб» — приклад поєднання поліських народних вірувань і шляхетської меморіальної традиції. Скульптура демонструє, як культурні контакти та взаємодія різних традицій збагачують локальну спадщину. </w:t>
      </w:r>
      <w:r>
        <w:rPr>
          <w:rStyle w:val="1"/>
          <w:rFonts w:ascii="Times New Roman" w:hAnsi="Times New Roman"/>
          <w:color w:val="000000"/>
          <w:sz w:val="28"/>
          <w:szCs w:val="28"/>
        </w:rPr>
        <w:t>Подібні об’єкти допомагають сучасному поколінню розуміти історію і традиції рідного краю.</w:t>
      </w:r>
    </w:p>
    <w:sectPr>
      <w:type w:val="nextPage"/>
      <w:pgSz w:w="11906" w:h="16838"/>
      <w:pgMar w:left="1134" w:right="1139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roman"/>
    <w:pitch w:val="variable"/>
  </w:font>
  <w:font w:name="Times New Roman">
    <w:charset w:val="cc" w:characterSet="windows-125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707"/>
        </w:tabs>
        <w:ind w:start="707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1">
      <w:start w:val="1"/>
      <w:numFmt w:val="decimal"/>
      <w:lvlText w:val="%2."/>
      <w:lvlJc w:val="start"/>
      <w:pPr>
        <w:tabs>
          <w:tab w:val="num" w:pos="1414"/>
        </w:tabs>
        <w:ind w:start="1414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2">
      <w:start w:val="1"/>
      <w:numFmt w:val="decimal"/>
      <w:lvlText w:val="%3."/>
      <w:lvlJc w:val="start"/>
      <w:pPr>
        <w:tabs>
          <w:tab w:val="num" w:pos="2121"/>
        </w:tabs>
        <w:ind w:start="2121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3">
      <w:start w:val="1"/>
      <w:numFmt w:val="decimal"/>
      <w:lvlText w:val="%4."/>
      <w:lvlJc w:val="start"/>
      <w:pPr>
        <w:tabs>
          <w:tab w:val="num" w:pos="2828"/>
        </w:tabs>
        <w:ind w:start="2828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4">
      <w:start w:val="1"/>
      <w:numFmt w:val="decimal"/>
      <w:lvlText w:val="%5."/>
      <w:lvlJc w:val="start"/>
      <w:pPr>
        <w:tabs>
          <w:tab w:val="num" w:pos="3535"/>
        </w:tabs>
        <w:ind w:start="3535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5">
      <w:start w:val="1"/>
      <w:numFmt w:val="decimal"/>
      <w:lvlText w:val="%6."/>
      <w:lvlJc w:val="start"/>
      <w:pPr>
        <w:tabs>
          <w:tab w:val="num" w:pos="4242"/>
        </w:tabs>
        <w:ind w:start="4242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6">
      <w:start w:val="1"/>
      <w:numFmt w:val="decimal"/>
      <w:lvlText w:val="%7."/>
      <w:lvlJc w:val="start"/>
      <w:pPr>
        <w:tabs>
          <w:tab w:val="num" w:pos="4949"/>
        </w:tabs>
        <w:ind w:start="4949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7">
      <w:start w:val="1"/>
      <w:numFmt w:val="decimal"/>
      <w:lvlText w:val="%8."/>
      <w:lvlJc w:val="start"/>
      <w:pPr>
        <w:tabs>
          <w:tab w:val="num" w:pos="5656"/>
        </w:tabs>
        <w:ind w:start="5656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8">
      <w:start w:val="1"/>
      <w:numFmt w:val="decimal"/>
      <w:lvlText w:val="%9."/>
      <w:lvlJc w:val="start"/>
      <w:pPr>
        <w:tabs>
          <w:tab w:val="num" w:pos="6363"/>
        </w:tabs>
        <w:ind w:start="6363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707"/>
        </w:tabs>
        <w:ind w:start="707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1">
      <w:start w:val="1"/>
      <w:numFmt w:val="decimal"/>
      <w:lvlText w:val="%2."/>
      <w:lvlJc w:val="start"/>
      <w:pPr>
        <w:tabs>
          <w:tab w:val="num" w:pos="1414"/>
        </w:tabs>
        <w:ind w:start="1414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2">
      <w:start w:val="1"/>
      <w:numFmt w:val="decimal"/>
      <w:lvlText w:val="%3."/>
      <w:lvlJc w:val="start"/>
      <w:pPr>
        <w:tabs>
          <w:tab w:val="num" w:pos="2121"/>
        </w:tabs>
        <w:ind w:start="2121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3">
      <w:start w:val="1"/>
      <w:numFmt w:val="decimal"/>
      <w:lvlText w:val="%4."/>
      <w:lvlJc w:val="start"/>
      <w:pPr>
        <w:tabs>
          <w:tab w:val="num" w:pos="2828"/>
        </w:tabs>
        <w:ind w:start="2828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4">
      <w:start w:val="1"/>
      <w:numFmt w:val="decimal"/>
      <w:lvlText w:val="%5."/>
      <w:lvlJc w:val="start"/>
      <w:pPr>
        <w:tabs>
          <w:tab w:val="num" w:pos="3535"/>
        </w:tabs>
        <w:ind w:start="3535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5">
      <w:start w:val="1"/>
      <w:numFmt w:val="decimal"/>
      <w:lvlText w:val="%6."/>
      <w:lvlJc w:val="start"/>
      <w:pPr>
        <w:tabs>
          <w:tab w:val="num" w:pos="4242"/>
        </w:tabs>
        <w:ind w:start="4242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6">
      <w:start w:val="1"/>
      <w:numFmt w:val="decimal"/>
      <w:lvlText w:val="%7."/>
      <w:lvlJc w:val="start"/>
      <w:pPr>
        <w:tabs>
          <w:tab w:val="num" w:pos="4949"/>
        </w:tabs>
        <w:ind w:start="4949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7">
      <w:start w:val="1"/>
      <w:numFmt w:val="decimal"/>
      <w:lvlText w:val="%8."/>
      <w:lvlJc w:val="start"/>
      <w:pPr>
        <w:tabs>
          <w:tab w:val="num" w:pos="5656"/>
        </w:tabs>
        <w:ind w:start="5656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8">
      <w:start w:val="1"/>
      <w:numFmt w:val="decimal"/>
      <w:lvlText w:val="%9."/>
      <w:lvlJc w:val="start"/>
      <w:pPr>
        <w:tabs>
          <w:tab w:val="num" w:pos="6363"/>
        </w:tabs>
        <w:ind w:start="6363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</w:abstractNum>
  <w:abstractNum w:abstractNumId="3">
    <w:lvl w:ilvl="0">
      <w:start w:val="1"/>
      <w:numFmt w:val="decimal"/>
      <w:lvlText w:val="%1."/>
      <w:lvlJc w:val="start"/>
      <w:pPr>
        <w:tabs>
          <w:tab w:val="num" w:pos="707"/>
        </w:tabs>
        <w:ind w:start="707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1">
      <w:start w:val="1"/>
      <w:numFmt w:val="decimal"/>
      <w:lvlText w:val="%2."/>
      <w:lvlJc w:val="start"/>
      <w:pPr>
        <w:tabs>
          <w:tab w:val="num" w:pos="1414"/>
        </w:tabs>
        <w:ind w:start="1414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2">
      <w:start w:val="1"/>
      <w:numFmt w:val="decimal"/>
      <w:lvlText w:val="%3."/>
      <w:lvlJc w:val="start"/>
      <w:pPr>
        <w:tabs>
          <w:tab w:val="num" w:pos="2121"/>
        </w:tabs>
        <w:ind w:start="2121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3">
      <w:start w:val="1"/>
      <w:numFmt w:val="decimal"/>
      <w:lvlText w:val="%4."/>
      <w:lvlJc w:val="start"/>
      <w:pPr>
        <w:tabs>
          <w:tab w:val="num" w:pos="2828"/>
        </w:tabs>
        <w:ind w:start="2828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4">
      <w:start w:val="1"/>
      <w:numFmt w:val="decimal"/>
      <w:lvlText w:val="%5."/>
      <w:lvlJc w:val="start"/>
      <w:pPr>
        <w:tabs>
          <w:tab w:val="num" w:pos="3535"/>
        </w:tabs>
        <w:ind w:start="3535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5">
      <w:start w:val="1"/>
      <w:numFmt w:val="decimal"/>
      <w:lvlText w:val="%6."/>
      <w:lvlJc w:val="start"/>
      <w:pPr>
        <w:tabs>
          <w:tab w:val="num" w:pos="4242"/>
        </w:tabs>
        <w:ind w:start="4242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6">
      <w:start w:val="1"/>
      <w:numFmt w:val="decimal"/>
      <w:lvlText w:val="%7."/>
      <w:lvlJc w:val="start"/>
      <w:pPr>
        <w:tabs>
          <w:tab w:val="num" w:pos="4949"/>
        </w:tabs>
        <w:ind w:start="4949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7">
      <w:start w:val="1"/>
      <w:numFmt w:val="decimal"/>
      <w:lvlText w:val="%8."/>
      <w:lvlJc w:val="start"/>
      <w:pPr>
        <w:tabs>
          <w:tab w:val="num" w:pos="5656"/>
        </w:tabs>
        <w:ind w:start="5656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8">
      <w:start w:val="1"/>
      <w:numFmt w:val="decimal"/>
      <w:lvlText w:val="%9."/>
      <w:lvlJc w:val="start"/>
      <w:pPr>
        <w:tabs>
          <w:tab w:val="num" w:pos="6363"/>
        </w:tabs>
        <w:ind w:start="6363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707"/>
        </w:tabs>
        <w:ind w:start="707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1">
      <w:start w:val="1"/>
      <w:numFmt w:val="decimal"/>
      <w:lvlText w:val="%2."/>
      <w:lvlJc w:val="start"/>
      <w:pPr>
        <w:tabs>
          <w:tab w:val="num" w:pos="1414"/>
        </w:tabs>
        <w:ind w:start="1414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2">
      <w:start w:val="1"/>
      <w:numFmt w:val="decimal"/>
      <w:lvlText w:val="%3."/>
      <w:lvlJc w:val="start"/>
      <w:pPr>
        <w:tabs>
          <w:tab w:val="num" w:pos="2121"/>
        </w:tabs>
        <w:ind w:start="2121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3">
      <w:start w:val="1"/>
      <w:numFmt w:val="decimal"/>
      <w:lvlText w:val="%4."/>
      <w:lvlJc w:val="start"/>
      <w:pPr>
        <w:tabs>
          <w:tab w:val="num" w:pos="2828"/>
        </w:tabs>
        <w:ind w:start="2828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4">
      <w:start w:val="1"/>
      <w:numFmt w:val="decimal"/>
      <w:lvlText w:val="%5."/>
      <w:lvlJc w:val="start"/>
      <w:pPr>
        <w:tabs>
          <w:tab w:val="num" w:pos="3535"/>
        </w:tabs>
        <w:ind w:start="3535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5">
      <w:start w:val="1"/>
      <w:numFmt w:val="decimal"/>
      <w:lvlText w:val="%6."/>
      <w:lvlJc w:val="start"/>
      <w:pPr>
        <w:tabs>
          <w:tab w:val="num" w:pos="4242"/>
        </w:tabs>
        <w:ind w:start="4242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6">
      <w:start w:val="1"/>
      <w:numFmt w:val="decimal"/>
      <w:lvlText w:val="%7."/>
      <w:lvlJc w:val="start"/>
      <w:pPr>
        <w:tabs>
          <w:tab w:val="num" w:pos="4949"/>
        </w:tabs>
        <w:ind w:start="4949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7">
      <w:start w:val="1"/>
      <w:numFmt w:val="decimal"/>
      <w:lvlText w:val="%8."/>
      <w:lvlJc w:val="start"/>
      <w:pPr>
        <w:tabs>
          <w:tab w:val="num" w:pos="5656"/>
        </w:tabs>
        <w:ind w:start="5656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8">
      <w:start w:val="1"/>
      <w:numFmt w:val="decimal"/>
      <w:lvlText w:val="%9."/>
      <w:lvlJc w:val="start"/>
      <w:pPr>
        <w:tabs>
          <w:tab w:val="num" w:pos="6363"/>
        </w:tabs>
        <w:ind w:start="6363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707"/>
        </w:tabs>
        <w:ind w:start="707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1">
      <w:start w:val="1"/>
      <w:numFmt w:val="decimal"/>
      <w:lvlText w:val="%2."/>
      <w:lvlJc w:val="start"/>
      <w:pPr>
        <w:tabs>
          <w:tab w:val="num" w:pos="1414"/>
        </w:tabs>
        <w:ind w:start="1414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2">
      <w:start w:val="1"/>
      <w:numFmt w:val="decimal"/>
      <w:lvlText w:val="%3."/>
      <w:lvlJc w:val="start"/>
      <w:pPr>
        <w:tabs>
          <w:tab w:val="num" w:pos="2121"/>
        </w:tabs>
        <w:ind w:start="2121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3">
      <w:start w:val="1"/>
      <w:numFmt w:val="decimal"/>
      <w:lvlText w:val="%4."/>
      <w:lvlJc w:val="start"/>
      <w:pPr>
        <w:tabs>
          <w:tab w:val="num" w:pos="2828"/>
        </w:tabs>
        <w:ind w:start="2828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4">
      <w:start w:val="1"/>
      <w:numFmt w:val="decimal"/>
      <w:lvlText w:val="%5."/>
      <w:lvlJc w:val="start"/>
      <w:pPr>
        <w:tabs>
          <w:tab w:val="num" w:pos="3535"/>
        </w:tabs>
        <w:ind w:start="3535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5">
      <w:start w:val="1"/>
      <w:numFmt w:val="decimal"/>
      <w:lvlText w:val="%6."/>
      <w:lvlJc w:val="start"/>
      <w:pPr>
        <w:tabs>
          <w:tab w:val="num" w:pos="4242"/>
        </w:tabs>
        <w:ind w:start="4242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6">
      <w:start w:val="1"/>
      <w:numFmt w:val="decimal"/>
      <w:lvlText w:val="%7."/>
      <w:lvlJc w:val="start"/>
      <w:pPr>
        <w:tabs>
          <w:tab w:val="num" w:pos="4949"/>
        </w:tabs>
        <w:ind w:start="4949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7">
      <w:start w:val="1"/>
      <w:numFmt w:val="decimal"/>
      <w:lvlText w:val="%8."/>
      <w:lvlJc w:val="start"/>
      <w:pPr>
        <w:tabs>
          <w:tab w:val="num" w:pos="5656"/>
        </w:tabs>
        <w:ind w:start="5656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8">
      <w:start w:val="1"/>
      <w:numFmt w:val="decimal"/>
      <w:lvlText w:val="%9."/>
      <w:lvlJc w:val="start"/>
      <w:pPr>
        <w:tabs>
          <w:tab w:val="num" w:pos="6363"/>
        </w:tabs>
        <w:ind w:start="6363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</w:abstractNum>
  <w:abstractNum w:abstractNumId="6">
    <w:lvl w:ilvl="0">
      <w:start w:val="1"/>
      <w:numFmt w:val="decimal"/>
      <w:lvlText w:val="%1."/>
      <w:lvlJc w:val="start"/>
      <w:pPr>
        <w:tabs>
          <w:tab w:val="num" w:pos="707"/>
        </w:tabs>
        <w:ind w:start="707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1">
      <w:start w:val="1"/>
      <w:numFmt w:val="decimal"/>
      <w:lvlText w:val="%2."/>
      <w:lvlJc w:val="start"/>
      <w:pPr>
        <w:tabs>
          <w:tab w:val="num" w:pos="1414"/>
        </w:tabs>
        <w:ind w:start="1414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2">
      <w:start w:val="1"/>
      <w:numFmt w:val="decimal"/>
      <w:lvlText w:val="%3."/>
      <w:lvlJc w:val="start"/>
      <w:pPr>
        <w:tabs>
          <w:tab w:val="num" w:pos="2121"/>
        </w:tabs>
        <w:ind w:start="2121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3">
      <w:start w:val="1"/>
      <w:numFmt w:val="decimal"/>
      <w:lvlText w:val="%4."/>
      <w:lvlJc w:val="start"/>
      <w:pPr>
        <w:tabs>
          <w:tab w:val="num" w:pos="2828"/>
        </w:tabs>
        <w:ind w:start="2828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4">
      <w:start w:val="1"/>
      <w:numFmt w:val="decimal"/>
      <w:lvlText w:val="%5."/>
      <w:lvlJc w:val="start"/>
      <w:pPr>
        <w:tabs>
          <w:tab w:val="num" w:pos="3535"/>
        </w:tabs>
        <w:ind w:start="3535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5">
      <w:start w:val="1"/>
      <w:numFmt w:val="decimal"/>
      <w:lvlText w:val="%6."/>
      <w:lvlJc w:val="start"/>
      <w:pPr>
        <w:tabs>
          <w:tab w:val="num" w:pos="4242"/>
        </w:tabs>
        <w:ind w:start="4242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6">
      <w:start w:val="1"/>
      <w:numFmt w:val="decimal"/>
      <w:lvlText w:val="%7."/>
      <w:lvlJc w:val="start"/>
      <w:pPr>
        <w:tabs>
          <w:tab w:val="num" w:pos="4949"/>
        </w:tabs>
        <w:ind w:start="4949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7">
      <w:start w:val="1"/>
      <w:numFmt w:val="decimal"/>
      <w:lvlText w:val="%8."/>
      <w:lvlJc w:val="start"/>
      <w:pPr>
        <w:tabs>
          <w:tab w:val="num" w:pos="5656"/>
        </w:tabs>
        <w:ind w:start="5656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  <w:lvl w:ilvl="8">
      <w:start w:val="1"/>
      <w:numFmt w:val="decimal"/>
      <w:lvlText w:val="%9."/>
      <w:lvlJc w:val="start"/>
      <w:pPr>
        <w:tabs>
          <w:tab w:val="num" w:pos="6363"/>
        </w:tabs>
        <w:ind w:start="6363" w:hanging="283"/>
      </w:pPr>
      <w:rPr>
        <w:smallCaps w:val="false"/>
        <w:caps w:val="false"/>
        <w:dstrike w:val="false"/>
        <w:strike w:val="false"/>
        <w:sz w:val="26"/>
        <w:spacing w:val="0"/>
        <w:i w:val="false"/>
        <w:u w:val="none"/>
        <w:b w:val="false"/>
        <w:szCs w:val="26"/>
        <w:iCs w:val="false"/>
        <w:bCs w:val="false"/>
        <w:w w:val="100"/>
        <w:rFonts w:cs="Times New Roman"/>
        <w:color w:val="000000"/>
      </w:rPr>
    </w:lvl>
  </w:abstractNum>
  <w:abstractNum w:abstractNumId="7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</w:numbering>
</file>

<file path=word/settings.xml><?xml version="1.0" encoding="utf-8"?>
<w:settings xmlns:w="http://schemas.openxmlformats.org/wordprocessingml/2006/main">
  <w:zoom w:percent="9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uk-UA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start"/>
    </w:pPr>
    <w:rPr>
      <w:rFonts w:ascii="Liberation Serif" w:hAnsi="Liberation Serif" w:eastAsia="NSimSun" w:cs="Lucida Sans"/>
      <w:color w:val="auto"/>
      <w:kern w:val="2"/>
      <w:sz w:val="24"/>
      <w:szCs w:val="24"/>
      <w:lang w:val="uk-UA" w:eastAsia="zh-CN" w:bidi="hi-IN"/>
    </w:rPr>
  </w:style>
  <w:style w:type="character" w:styleId="DefaultParagraphFont">
    <w:name w:val="Default Paragraph Font"/>
    <w:qFormat/>
    <w:rPr/>
  </w:style>
  <w:style w:type="character" w:styleId="1">
    <w:name w:val="Основний текст Знак1"/>
    <w:basedOn w:val="DefaultParagraphFont"/>
    <w:qFormat/>
    <w:rPr>
      <w:rFonts w:cs="Times New Roman"/>
      <w:sz w:val="26"/>
      <w:szCs w:val="26"/>
    </w:rPr>
  </w:style>
  <w:style w:type="character" w:styleId="Style14">
    <w:name w:val="Виділення жирним"/>
    <w:qFormat/>
    <w:rPr>
      <w:b/>
      <w:bCs/>
    </w:rPr>
  </w:style>
  <w:style w:type="character" w:styleId="Style15">
    <w:name w:val="Символ нумерації"/>
    <w:qFormat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ucida 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0">
    <w:name w:val="Покажчик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Style21">
    <w:name w:val="Горизонтальна лінія"/>
    <w:basedOn w:val="Normal"/>
    <w:next w:val="Style17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</TotalTime>
  <Application>LibreOffice/7.2.2.2$Windows_X86_64 LibreOffice_project/02b2acce88a210515b4a5bb2e46cbfb63fe97d56</Application>
  <AppVersion>15.0000</AppVersion>
  <Pages>2</Pages>
  <Words>383</Words>
  <Characters>2658</Characters>
  <CharactersWithSpaces>3029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uk-UA</dc:language>
  <cp:lastModifiedBy/>
  <dcterms:modified xsi:type="dcterms:W3CDTF">2026-04-10T16:57:46Z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