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theme/theme1.xml" ContentType="application/vnd.openxmlformats-officedocument.theme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numPr>
          <w:ilvl w:val="0"/>
          <w:numId w:val="0"/>
        </w:numPr>
        <w:spacing w:lineRule="auto" w:line="360"/>
        <w:jc w:val="center"/>
        <w:outlineLvl w:val="2"/>
        <w:rPr>
          <w:rFonts w:ascii="Times New Roman" w:hAnsi="Times New Roman" w:eastAsia="Times New Roman" w:cs="Times New Roman"/>
          <w:b/>
          <w:bCs/>
          <w:sz w:val="27"/>
          <w:szCs w:val="27"/>
          <w:lang w:val="uk-UA"/>
        </w:rPr>
      </w:pPr>
      <w:r>
        <w:rPr>
          <w:rFonts w:eastAsia="Times New Roman" w:cs="Times New Roman" w:ascii="Times New Roman" w:hAnsi="Times New Roman"/>
          <w:b/>
          <w:bCs/>
          <w:sz w:val="27"/>
          <w:szCs w:val="27"/>
          <w:lang w:val="uk-UA"/>
        </w:rPr>
        <w:t>Всеукраїнський інтерактивний конкурс «Ман-Юніор Дослідник»</w:t>
      </w:r>
    </w:p>
    <w:p>
      <w:pPr>
        <w:pStyle w:val="Normal"/>
        <w:numPr>
          <w:ilvl w:val="0"/>
          <w:numId w:val="0"/>
        </w:numPr>
        <w:spacing w:lineRule="auto" w:line="360"/>
        <w:jc w:val="center"/>
        <w:outlineLvl w:val="2"/>
        <w:rPr>
          <w:rFonts w:ascii="Times New Roman" w:hAnsi="Times New Roman" w:eastAsia="Times New Roman" w:cs="Times New Roman"/>
          <w:b/>
          <w:bCs/>
          <w:sz w:val="27"/>
          <w:szCs w:val="27"/>
          <w:lang w:val="uk-UA"/>
        </w:rPr>
      </w:pPr>
      <w:r>
        <w:rPr>
          <w:rFonts w:eastAsia="Times New Roman" w:cs="Times New Roman" w:ascii="Times New Roman" w:hAnsi="Times New Roman"/>
          <w:b/>
          <w:bCs/>
          <w:sz w:val="27"/>
          <w:szCs w:val="27"/>
          <w:lang w:val="uk-UA"/>
        </w:rPr>
        <w:t>Тези творчої роботи</w:t>
      </w:r>
    </w:p>
    <w:p>
      <w:pPr>
        <w:pStyle w:val="Normal"/>
        <w:spacing w:lineRule="auto" w:line="360"/>
        <w:jc w:val="both"/>
        <w:rPr>
          <w:rFonts w:ascii="Times New Roman" w:hAnsi="Times New Roman" w:eastAsia="Times New Roman" w:cs="Times New Roman"/>
          <w:sz w:val="27"/>
          <w:szCs w:val="27"/>
          <w:lang w:val="uk-UA"/>
        </w:rPr>
      </w:pPr>
      <w:r>
        <w:rPr>
          <w:rFonts w:eastAsia="Times New Roman" w:cs="Times New Roman" w:ascii="Times New Roman" w:hAnsi="Times New Roman"/>
          <w:b/>
          <w:bCs/>
          <w:sz w:val="27"/>
          <w:szCs w:val="27"/>
          <w:lang w:val="uk-UA"/>
        </w:rPr>
        <w:t>Тема:</w:t>
      </w:r>
      <w:r>
        <w:rPr>
          <w:rFonts w:eastAsia="Times New Roman" w:cs="Times New Roman" w:ascii="Times New Roman" w:hAnsi="Times New Roman"/>
          <w:sz w:val="27"/>
          <w:szCs w:val="27"/>
          <w:lang w:val="uk-UA"/>
        </w:rPr>
        <w:t xml:space="preserve"> Польська спадщина Острога: від історичного минулого до сучасної освітньо-культурної практики. </w:t>
      </w:r>
    </w:p>
    <w:p>
      <w:pPr>
        <w:pStyle w:val="Normal"/>
        <w:spacing w:lineRule="auto" w:line="360"/>
        <w:jc w:val="both"/>
        <w:rPr>
          <w:rFonts w:ascii="Times New Roman" w:hAnsi="Times New Roman" w:eastAsia="Times New Roman" w:cs="Times New Roman"/>
          <w:sz w:val="27"/>
          <w:szCs w:val="27"/>
          <w:lang w:val="ru-RU"/>
        </w:rPr>
      </w:pPr>
      <w:r>
        <w:rPr>
          <w:rFonts w:eastAsia="Times New Roman" w:cs="Times New Roman" w:ascii="Times New Roman" w:hAnsi="Times New Roman"/>
          <w:b/>
          <w:bCs/>
          <w:sz w:val="27"/>
          <w:szCs w:val="27"/>
          <w:lang w:val="uk-UA"/>
        </w:rPr>
        <w:t>Автор проєкту:</w:t>
      </w:r>
      <w:r>
        <w:rPr>
          <w:rFonts w:eastAsia="Times New Roman" w:cs="Times New Roman" w:ascii="Times New Roman" w:hAnsi="Times New Roman"/>
          <w:sz w:val="27"/>
          <w:szCs w:val="27"/>
          <w:lang w:val="uk-UA"/>
        </w:rPr>
        <w:t xml:space="preserve"> Голуб Артем Миколайович</w:t>
      </w:r>
      <w:r>
        <w:rPr>
          <w:rFonts w:eastAsia="Times New Roman" w:cs="Times New Roman" w:ascii="Times New Roman" w:hAnsi="Times New Roman"/>
          <w:sz w:val="27"/>
          <w:szCs w:val="27"/>
          <w:lang w:val="ru-RU"/>
        </w:rPr>
        <w:t>.</w:t>
      </w:r>
    </w:p>
    <w:p>
      <w:pPr>
        <w:pStyle w:val="Normal"/>
        <w:spacing w:lineRule="auto" w:line="360"/>
        <w:jc w:val="both"/>
        <w:rPr>
          <w:rFonts w:ascii="Times New Roman" w:hAnsi="Times New Roman" w:eastAsia="Times New Roman" w:cs="Times New Roman"/>
          <w:sz w:val="27"/>
          <w:szCs w:val="27"/>
          <w:lang w:val="ru-RU"/>
        </w:rPr>
      </w:pPr>
      <w:r>
        <w:rPr>
          <w:rFonts w:eastAsia="Times New Roman" w:cs="Times New Roman" w:ascii="Times New Roman" w:hAnsi="Times New Roman"/>
          <w:b/>
          <w:sz w:val="27"/>
          <w:szCs w:val="27"/>
          <w:lang w:val="uk-UA"/>
        </w:rPr>
        <w:t>Клас:</w:t>
      </w:r>
      <w:r>
        <w:rPr>
          <w:rFonts w:eastAsia="Times New Roman" w:cs="Times New Roman" w:ascii="Times New Roman" w:hAnsi="Times New Roman"/>
          <w:sz w:val="27"/>
          <w:szCs w:val="27"/>
          <w:lang w:val="uk-UA"/>
        </w:rPr>
        <w:t xml:space="preserve"> 1</w:t>
      </w:r>
      <w:r>
        <w:rPr>
          <w:rFonts w:eastAsia="Times New Roman" w:cs="Times New Roman" w:ascii="Times New Roman" w:hAnsi="Times New Roman"/>
          <w:sz w:val="27"/>
          <w:szCs w:val="27"/>
          <w:lang w:val="ru-RU"/>
        </w:rPr>
        <w:t>0</w:t>
      </w:r>
    </w:p>
    <w:p>
      <w:pPr>
        <w:pStyle w:val="Normal"/>
        <w:spacing w:lineRule="auto" w:line="360"/>
        <w:jc w:val="both"/>
        <w:rPr>
          <w:rStyle w:val="1"/>
          <w:rFonts w:ascii="Times New Roman" w:hAnsi="Times New Roman"/>
          <w:color w:val="000000"/>
          <w:sz w:val="27"/>
          <w:szCs w:val="27"/>
          <w:lang w:val="uk-UA"/>
        </w:rPr>
      </w:pPr>
      <w:r>
        <w:rPr>
          <w:rStyle w:val="1"/>
          <w:rFonts w:ascii="Times New Roman" w:hAnsi="Times New Roman"/>
          <w:b/>
          <w:color w:val="000000"/>
          <w:sz w:val="27"/>
          <w:szCs w:val="27"/>
          <w:lang w:val="uk-UA"/>
        </w:rPr>
        <w:t xml:space="preserve">Назва закладу освіти: </w:t>
      </w:r>
      <w:r>
        <w:rPr>
          <w:rStyle w:val="1"/>
          <w:rFonts w:ascii="Times New Roman" w:hAnsi="Times New Roman"/>
          <w:color w:val="000000"/>
          <w:sz w:val="27"/>
          <w:szCs w:val="27"/>
          <w:lang w:val="uk-UA"/>
        </w:rPr>
        <w:t>Обласний науковий ліцей в м. Рівне Рівненської обласної ради</w:t>
      </w:r>
    </w:p>
    <w:p>
      <w:pPr>
        <w:pStyle w:val="Normal"/>
        <w:spacing w:lineRule="auto" w:line="360"/>
        <w:jc w:val="both"/>
        <w:rPr>
          <w:rStyle w:val="1"/>
          <w:rFonts w:ascii="Times New Roman" w:hAnsi="Times New Roman"/>
          <w:color w:themeColor="text1" w:val="000000"/>
          <w:sz w:val="27"/>
          <w:szCs w:val="27"/>
          <w:lang w:val="uk-UA"/>
        </w:rPr>
      </w:pPr>
      <w:r>
        <w:rPr>
          <w:rStyle w:val="1"/>
          <w:rFonts w:ascii="Times New Roman" w:hAnsi="Times New Roman"/>
          <w:b/>
          <w:color w:val="000000"/>
          <w:sz w:val="27"/>
          <w:szCs w:val="27"/>
          <w:lang w:val="uk-UA"/>
        </w:rPr>
        <w:t>Назва територіального відділення МАНУ:</w:t>
      </w:r>
      <w:r>
        <w:rPr>
          <w:rStyle w:val="1"/>
          <w:rFonts w:ascii="Times New Roman" w:hAnsi="Times New Roman"/>
          <w:color w:val="000000"/>
          <w:sz w:val="27"/>
          <w:szCs w:val="27"/>
          <w:lang w:val="uk-UA"/>
        </w:rPr>
        <w:t xml:space="preserve"> </w:t>
      </w:r>
      <w:r>
        <w:rPr>
          <w:rStyle w:val="1"/>
          <w:rFonts w:ascii="Times New Roman" w:hAnsi="Times New Roman"/>
          <w:b/>
          <w:color w:val="303030"/>
          <w:sz w:val="27"/>
          <w:szCs w:val="27"/>
          <w:lang w:val="uk-UA"/>
        </w:rPr>
        <w:t xml:space="preserve">  </w:t>
      </w:r>
      <w:r>
        <w:rPr>
          <w:rStyle w:val="1"/>
          <w:rFonts w:ascii="Times New Roman" w:hAnsi="Times New Roman"/>
          <w:color w:themeColor="text1" w:val="000000"/>
          <w:sz w:val="27"/>
          <w:szCs w:val="27"/>
          <w:lang w:val="uk-UA"/>
        </w:rPr>
        <w:t>Рівненська Мала академія наук учнівської молоді</w:t>
      </w:r>
    </w:p>
    <w:p>
      <w:pPr>
        <w:pStyle w:val="Normal"/>
        <w:spacing w:lineRule="auto" w:line="360"/>
        <w:jc w:val="both"/>
        <w:rPr>
          <w:rStyle w:val="1"/>
          <w:rFonts w:ascii="Times New Roman" w:hAnsi="Times New Roman"/>
          <w:color w:themeColor="text1" w:val="000000"/>
          <w:sz w:val="27"/>
          <w:szCs w:val="27"/>
          <w:lang w:val="uk-UA"/>
        </w:rPr>
      </w:pPr>
      <w:r>
        <w:rPr>
          <w:rStyle w:val="1"/>
          <w:rFonts w:ascii="Times New Roman" w:hAnsi="Times New Roman"/>
          <w:b/>
          <w:color w:themeColor="text1" w:val="000000"/>
          <w:sz w:val="27"/>
          <w:szCs w:val="27"/>
          <w:lang w:val="uk-UA"/>
        </w:rPr>
        <w:t>Населений пункт</w:t>
      </w:r>
      <w:r>
        <w:rPr>
          <w:rStyle w:val="1"/>
          <w:rFonts w:ascii="Times New Roman" w:hAnsi="Times New Roman"/>
          <w:color w:themeColor="text1" w:val="000000"/>
          <w:sz w:val="27"/>
          <w:szCs w:val="27"/>
          <w:lang w:val="uk-UA"/>
        </w:rPr>
        <w:t>: м.Рівне.</w:t>
      </w:r>
    </w:p>
    <w:p>
      <w:pPr>
        <w:pStyle w:val="Normal"/>
        <w:spacing w:lineRule="auto" w:line="360"/>
        <w:jc w:val="both"/>
        <w:rPr>
          <w:rFonts w:ascii="Times New Roman" w:hAnsi="Times New Roman" w:eastAsia="Times New Roman" w:cs="Times New Roman"/>
          <w:sz w:val="27"/>
          <w:szCs w:val="27"/>
          <w:lang w:val="uk-UA"/>
        </w:rPr>
      </w:pPr>
      <w:r>
        <w:rPr>
          <w:rFonts w:eastAsia="Times New Roman" w:cs="Times New Roman" w:ascii="Times New Roman" w:hAnsi="Times New Roman"/>
          <w:b/>
          <w:bCs/>
          <w:sz w:val="27"/>
          <w:szCs w:val="27"/>
          <w:lang w:val="uk-UA"/>
        </w:rPr>
        <w:t>Керівник проєкту:</w:t>
      </w:r>
      <w:r>
        <w:rPr>
          <w:rFonts w:eastAsia="Times New Roman" w:cs="Times New Roman" w:ascii="Times New Roman" w:hAnsi="Times New Roman"/>
          <w:sz w:val="27"/>
          <w:szCs w:val="27"/>
          <w:lang w:val="uk-UA"/>
        </w:rPr>
        <w:t xml:space="preserve"> методист, вчителька історії</w:t>
      </w:r>
      <w:r>
        <w:rPr>
          <w:rFonts w:eastAsia="Times New Roman" w:cs="Times New Roman" w:ascii="Times New Roman" w:hAnsi="Times New Roman"/>
          <w:sz w:val="27"/>
          <w:szCs w:val="27"/>
          <w:lang w:val="ru-RU"/>
        </w:rPr>
        <w:t xml:space="preserve"> </w:t>
      </w:r>
      <w:r>
        <w:rPr>
          <w:rFonts w:eastAsia="Times New Roman" w:cs="Times New Roman" w:ascii="Times New Roman" w:hAnsi="Times New Roman"/>
          <w:sz w:val="27"/>
          <w:szCs w:val="27"/>
          <w:lang w:val="uk-UA"/>
        </w:rPr>
        <w:t>Омельчак Тетяна Анатоліївна.</w:t>
      </w:r>
    </w:p>
    <w:p>
      <w:pPr>
        <w:pStyle w:val="Normal"/>
        <w:spacing w:lineRule="auto" w:line="360"/>
        <w:jc w:val="both"/>
        <w:rPr>
          <w:rFonts w:ascii="Times New Roman" w:hAnsi="Times New Roman" w:eastAsia="Times New Roman" w:cs="Times New Roman"/>
          <w:sz w:val="27"/>
          <w:szCs w:val="27"/>
          <w:lang w:val="uk-UA"/>
        </w:rPr>
      </w:pPr>
      <w:r>
        <w:rPr>
          <w:rFonts w:eastAsia="Times New Roman" w:cs="Times New Roman" w:ascii="Times New Roman" w:hAnsi="Times New Roman"/>
          <w:b/>
          <w:bCs/>
          <w:sz w:val="27"/>
          <w:szCs w:val="27"/>
          <w:lang w:val="uk-UA"/>
        </w:rPr>
        <w:t>2. Мета дослідження:</w:t>
      </w:r>
      <w:r>
        <w:rPr>
          <w:rFonts w:eastAsia="Times New Roman" w:cs="Times New Roman" w:ascii="Times New Roman" w:hAnsi="Times New Roman"/>
          <w:sz w:val="27"/>
          <w:szCs w:val="27"/>
          <w:lang w:val="uk-UA"/>
        </w:rPr>
        <w:t xml:space="preserve"> проаналізувати процес еволюції польської громади Острога від XVI ст. до сьогодення, виявити особливості збереження її етнокультурної ідентичності та дослідити сучасний стан функціонування польської спадщини в освітньому й релігійному просторі міста.</w:t>
      </w:r>
    </w:p>
    <w:p>
      <w:pPr>
        <w:pStyle w:val="Normal"/>
        <w:spacing w:lineRule="auto" w:line="360"/>
        <w:jc w:val="both"/>
        <w:rPr>
          <w:rFonts w:ascii="Times New Roman" w:hAnsi="Times New Roman" w:eastAsia="Times New Roman" w:cs="Times New Roman"/>
          <w:sz w:val="27"/>
          <w:szCs w:val="27"/>
          <w:lang w:val="uk-UA"/>
        </w:rPr>
      </w:pPr>
      <w:r>
        <w:rPr>
          <w:rFonts w:eastAsia="Times New Roman" w:cs="Times New Roman" w:ascii="Times New Roman" w:hAnsi="Times New Roman"/>
          <w:b/>
          <w:bCs/>
          <w:sz w:val="27"/>
          <w:szCs w:val="27"/>
          <w:lang w:val="uk-UA"/>
        </w:rPr>
        <w:t>3. Завдання проєкту:</w:t>
      </w:r>
    </w:p>
    <w:p>
      <w:pPr>
        <w:pStyle w:val="Normal"/>
        <w:numPr>
          <w:ilvl w:val="0"/>
          <w:numId w:val="1"/>
        </w:numPr>
        <w:ind w:hanging="0" w:start="0"/>
        <w:jc w:val="both"/>
        <w:rPr>
          <w:rFonts w:ascii="Times New Roman" w:hAnsi="Times New Roman" w:eastAsia="Times New Roman" w:cs="Times New Roman"/>
          <w:sz w:val="27"/>
          <w:szCs w:val="27"/>
          <w:lang w:val="uk-UA"/>
        </w:rPr>
      </w:pPr>
      <w:r>
        <w:rPr>
          <w:rFonts w:eastAsia="Times New Roman" w:cs="Times New Roman" w:ascii="Times New Roman" w:hAnsi="Times New Roman"/>
          <w:sz w:val="27"/>
          <w:szCs w:val="27"/>
          <w:lang w:val="uk-UA"/>
        </w:rPr>
        <w:t>Простежити етапи формування польського осередку в Острозі.</w:t>
      </w:r>
    </w:p>
    <w:p>
      <w:pPr>
        <w:pStyle w:val="NormalWeb"/>
        <w:numPr>
          <w:ilvl w:val="0"/>
          <w:numId w:val="1"/>
        </w:numPr>
        <w:spacing w:beforeAutospacing="0" w:before="0" w:afterAutospacing="0" w:after="0"/>
        <w:ind w:hanging="0" w:start="0"/>
        <w:jc w:val="both"/>
        <w:rPr>
          <w:sz w:val="27"/>
          <w:szCs w:val="27"/>
          <w:lang w:val="uk-UA"/>
        </w:rPr>
      </w:pPr>
      <w:r>
        <w:rPr>
          <w:bCs/>
          <w:sz w:val="27"/>
          <w:szCs w:val="27"/>
          <w:lang w:val="uk-UA"/>
        </w:rPr>
        <w:t>Визначити роль римо-католицької парафії</w:t>
      </w:r>
      <w:r>
        <w:rPr>
          <w:sz w:val="27"/>
          <w:szCs w:val="27"/>
          <w:lang w:val="uk-UA"/>
        </w:rPr>
        <w:t xml:space="preserve"> Острога (Костелу Успіння Пресвятої Діви Марії) як ключового центру релігійної та національної консолідації поляків Острога у ХVI – ХХІ ст.</w:t>
      </w:r>
    </w:p>
    <w:p>
      <w:pPr>
        <w:pStyle w:val="NormalWeb"/>
        <w:numPr>
          <w:ilvl w:val="0"/>
          <w:numId w:val="1"/>
        </w:numPr>
        <w:spacing w:beforeAutospacing="0" w:before="0" w:afterAutospacing="0" w:after="0"/>
        <w:ind w:hanging="0" w:start="0"/>
        <w:jc w:val="both"/>
        <w:rPr>
          <w:sz w:val="27"/>
          <w:szCs w:val="27"/>
          <w:lang w:val="uk-UA"/>
        </w:rPr>
      </w:pPr>
      <w:r>
        <w:rPr>
          <w:rStyle w:val="Citation-76"/>
          <w:bCs/>
          <w:sz w:val="27"/>
          <w:szCs w:val="27"/>
          <w:lang w:val="uk-UA"/>
        </w:rPr>
        <w:t>Дослідити</w:t>
      </w:r>
      <w:r>
        <w:rPr>
          <w:rStyle w:val="Citation-76"/>
          <w:sz w:val="27"/>
          <w:szCs w:val="27"/>
          <w:lang w:val="uk-UA"/>
        </w:rPr>
        <w:t xml:space="preserve"> вплив радянської репресивної політики на польську громаду, зокрема процеси депортацій та нищення сакральних об’єктів (костелу, монастиря капуцинів, некрополів)</w:t>
      </w:r>
      <w:r>
        <w:rPr>
          <w:sz w:val="27"/>
          <w:szCs w:val="27"/>
          <w:lang w:val="uk-UA"/>
        </w:rPr>
        <w:t>.</w:t>
      </w:r>
    </w:p>
    <w:p>
      <w:pPr>
        <w:pStyle w:val="Normal"/>
        <w:numPr>
          <w:ilvl w:val="0"/>
          <w:numId w:val="1"/>
        </w:numPr>
        <w:ind w:hanging="0" w:start="0"/>
        <w:jc w:val="both"/>
        <w:rPr>
          <w:rFonts w:ascii="Times New Roman" w:hAnsi="Times New Roman" w:eastAsia="Times New Roman" w:cs="Times New Roman"/>
          <w:sz w:val="27"/>
          <w:szCs w:val="27"/>
          <w:lang w:val="uk-UA"/>
        </w:rPr>
      </w:pPr>
      <w:r>
        <w:rPr>
          <w:rFonts w:eastAsia="Times New Roman" w:cs="Times New Roman" w:ascii="Times New Roman" w:hAnsi="Times New Roman"/>
          <w:sz w:val="27"/>
          <w:szCs w:val="27"/>
          <w:lang w:val="uk-UA"/>
        </w:rPr>
        <w:t>Охарактеризувати сучасну освітню діяльність через співпрацю Острозького ліцею №2 із польськими партнерами.</w:t>
      </w:r>
    </w:p>
    <w:p>
      <w:pPr>
        <w:pStyle w:val="Normal"/>
        <w:numPr>
          <w:ilvl w:val="0"/>
          <w:numId w:val="1"/>
        </w:numPr>
        <w:ind w:hanging="0" w:start="0"/>
        <w:jc w:val="both"/>
        <w:rPr>
          <w:rFonts w:ascii="Times New Roman" w:hAnsi="Times New Roman" w:eastAsia="Times New Roman" w:cs="Times New Roman"/>
          <w:sz w:val="27"/>
          <w:szCs w:val="27"/>
          <w:lang w:val="uk-UA"/>
        </w:rPr>
      </w:pPr>
      <w:r>
        <w:rPr>
          <w:rFonts w:eastAsia="Times New Roman" w:cs="Times New Roman" w:ascii="Times New Roman" w:hAnsi="Times New Roman"/>
          <w:sz w:val="27"/>
          <w:szCs w:val="27"/>
          <w:lang w:val="uk-UA"/>
        </w:rPr>
        <w:t>Провести порівняльний аналіз об’єктів спадщини за методикою «Тоді і зараз».</w:t>
      </w:r>
    </w:p>
    <w:p>
      <w:pPr>
        <w:pStyle w:val="NormalWeb"/>
        <w:numPr>
          <w:ilvl w:val="0"/>
          <w:numId w:val="1"/>
        </w:numPr>
        <w:spacing w:beforeAutospacing="0" w:before="0" w:afterAutospacing="0" w:after="0"/>
        <w:ind w:hanging="0" w:start="0"/>
        <w:jc w:val="both"/>
        <w:rPr>
          <w:sz w:val="27"/>
          <w:szCs w:val="27"/>
          <w:lang w:val="uk-UA"/>
        </w:rPr>
      </w:pPr>
      <w:r>
        <w:rPr>
          <w:sz w:val="27"/>
          <w:szCs w:val="27"/>
          <w:lang w:val="uk-UA" w:eastAsia="uk-UA"/>
        </w:rPr>
        <w:t>Нанести на сучасний план міста локації, що маркують польську присутність у Острозі від XVI століття до сьогодення «Острог польський».</w:t>
      </w:r>
    </w:p>
    <w:p>
      <w:pPr>
        <w:pStyle w:val="Normal"/>
        <w:spacing w:lineRule="auto" w:line="360"/>
        <w:jc w:val="both"/>
        <w:rPr>
          <w:rFonts w:ascii="Times New Roman" w:hAnsi="Times New Roman" w:eastAsia="Times New Roman" w:cs="Times New Roman"/>
          <w:sz w:val="27"/>
          <w:szCs w:val="27"/>
          <w:lang w:val="uk-UA"/>
        </w:rPr>
      </w:pPr>
      <w:r>
        <w:rPr>
          <w:rFonts w:eastAsia="Times New Roman" w:cs="Times New Roman" w:ascii="Times New Roman" w:hAnsi="Times New Roman"/>
          <w:b/>
          <w:bCs/>
          <w:sz w:val="27"/>
          <w:szCs w:val="27"/>
          <w:lang w:val="uk-UA"/>
        </w:rPr>
        <w:t>4. Об’єкт та предмет дослідження:</w:t>
      </w:r>
    </w:p>
    <w:p>
      <w:pPr>
        <w:pStyle w:val="Normal"/>
        <w:spacing w:lineRule="auto" w:line="360"/>
        <w:jc w:val="both"/>
        <w:rPr>
          <w:rFonts w:ascii="Times New Roman" w:hAnsi="Times New Roman" w:eastAsia="Times New Roman" w:cs="Times New Roman"/>
          <w:sz w:val="27"/>
          <w:szCs w:val="27"/>
          <w:lang w:val="uk-UA"/>
        </w:rPr>
      </w:pPr>
      <w:r>
        <w:rPr>
          <w:rFonts w:eastAsia="Times New Roman" w:cs="Times New Roman" w:ascii="Times New Roman" w:hAnsi="Times New Roman"/>
          <w:b/>
          <w:bCs/>
          <w:sz w:val="27"/>
          <w:szCs w:val="27"/>
          <w:lang w:val="uk-UA"/>
        </w:rPr>
        <w:t>Об’єкт:</w:t>
      </w:r>
      <w:r>
        <w:rPr>
          <w:rFonts w:eastAsia="Times New Roman" w:cs="Times New Roman" w:ascii="Times New Roman" w:hAnsi="Times New Roman"/>
          <w:sz w:val="27"/>
          <w:szCs w:val="27"/>
          <w:lang w:val="uk-UA"/>
        </w:rPr>
        <w:t xml:space="preserve"> історія польської етнічної спільноти міста Острога.</w:t>
      </w:r>
    </w:p>
    <w:p>
      <w:pPr>
        <w:pStyle w:val="Normal"/>
        <w:spacing w:lineRule="auto" w:line="360"/>
        <w:jc w:val="both"/>
        <w:rPr>
          <w:rFonts w:ascii="Times New Roman" w:hAnsi="Times New Roman" w:eastAsia="Times New Roman" w:cs="Times New Roman"/>
          <w:sz w:val="27"/>
          <w:szCs w:val="27"/>
          <w:lang w:val="uk-UA"/>
        </w:rPr>
      </w:pPr>
      <w:r>
        <w:rPr>
          <w:rFonts w:eastAsia="Times New Roman" w:cs="Times New Roman" w:ascii="Times New Roman" w:hAnsi="Times New Roman"/>
          <w:b/>
          <w:bCs/>
          <w:sz w:val="27"/>
          <w:szCs w:val="27"/>
          <w:lang w:val="uk-UA"/>
        </w:rPr>
        <w:t>Предмет:</w:t>
      </w:r>
      <w:r>
        <w:rPr>
          <w:rFonts w:eastAsia="Times New Roman" w:cs="Times New Roman" w:ascii="Times New Roman" w:hAnsi="Times New Roman"/>
          <w:sz w:val="27"/>
          <w:szCs w:val="27"/>
          <w:lang w:val="uk-UA"/>
        </w:rPr>
        <w:t xml:space="preserve"> трансформація кількісного складу польської громади та стан об’єктів польської культурної спадщини в сучасному Острозі.</w:t>
      </w:r>
    </w:p>
    <w:p>
      <w:pPr>
        <w:pStyle w:val="NormalWeb"/>
        <w:spacing w:lineRule="auto" w:line="360" w:beforeAutospacing="0" w:before="0" w:afterAutospacing="0" w:after="0"/>
        <w:jc w:val="both"/>
        <w:rPr>
          <w:sz w:val="27"/>
          <w:szCs w:val="27"/>
          <w:lang w:val="uk-UA"/>
        </w:rPr>
      </w:pPr>
      <w:r>
        <w:rPr>
          <w:b/>
          <w:bCs/>
          <w:sz w:val="27"/>
          <w:szCs w:val="27"/>
          <w:lang w:val="uk-UA"/>
        </w:rPr>
        <w:t>5. Теоретична частина:</w:t>
      </w:r>
      <w:r>
        <w:rPr>
          <w:sz w:val="27"/>
          <w:szCs w:val="27"/>
          <w:lang w:val="uk-UA"/>
        </w:rPr>
        <w:t xml:space="preserve"> Дослідження засвідчило, що польська присутність в Острозі про</w:t>
      </w:r>
      <w:bookmarkStart w:id="0" w:name="_GoBack"/>
      <w:bookmarkEnd w:id="0"/>
      <w:r>
        <w:rPr>
          <w:sz w:val="27"/>
          <w:szCs w:val="27"/>
          <w:lang w:val="uk-UA"/>
        </w:rPr>
        <w:t>йшла шлях від «золотої доби» XVI–XVII ст. (</w:t>
      </w:r>
      <w:r>
        <w:rPr>
          <w:rStyle w:val="Math-inline"/>
          <w:sz w:val="27"/>
          <w:szCs w:val="27"/>
          <w:lang w:val="uk-UA"/>
        </w:rPr>
        <w:t xml:space="preserve">28% </w:t>
      </w:r>
      <w:r>
        <w:rPr>
          <w:sz w:val="27"/>
          <w:szCs w:val="27"/>
          <w:lang w:val="uk-UA"/>
        </w:rPr>
        <w:t xml:space="preserve">населення) </w:t>
      </w:r>
      <w:r>
        <w:rPr>
          <w:rStyle w:val="Citation-375"/>
          <w:sz w:val="27"/>
          <w:szCs w:val="27"/>
          <w:lang w:val="uk-UA"/>
        </w:rPr>
        <w:t>до складних трансформацій XX ст</w:t>
      </w:r>
      <w:r>
        <w:rPr>
          <w:sz w:val="27"/>
          <w:szCs w:val="27"/>
          <w:lang w:val="uk-UA"/>
        </w:rPr>
        <w:t xml:space="preserve">. Встановлено, що ключовим фактором збереження громади в радянський період стали «нові поляки» — депортовані у 1930-х рр. </w:t>
      </w:r>
      <w:r>
        <w:rPr>
          <w:rStyle w:val="Citation-374"/>
          <w:sz w:val="27"/>
          <w:szCs w:val="27"/>
          <w:lang w:val="uk-UA"/>
        </w:rPr>
        <w:t>до Казахстану жителі Хмельниччини та Житомирщини, які після 1946 року прибули до Острога.</w:t>
      </w:r>
    </w:p>
    <w:p>
      <w:pPr>
        <w:pStyle w:val="Normal"/>
        <w:spacing w:lineRule="auto" w:line="360"/>
        <w:ind w:firstLine="720"/>
        <w:jc w:val="both"/>
        <w:rPr>
          <w:rFonts w:ascii="Times New Roman" w:hAnsi="Times New Roman" w:eastAsia="Times New Roman" w:cs="Times New Roman"/>
          <w:sz w:val="27"/>
          <w:szCs w:val="27"/>
          <w:lang w:val="uk-UA"/>
        </w:rPr>
      </w:pPr>
      <w:r>
        <w:rPr>
          <w:rFonts w:cs="Times New Roman" w:ascii="Times New Roman" w:hAnsi="Times New Roman"/>
          <w:sz w:val="27"/>
          <w:szCs w:val="27"/>
          <w:lang w:val="uk-UA"/>
        </w:rPr>
        <w:t xml:space="preserve">Важливим аспектом теоретичного аналізу стала еволюція меморіальних практик: від нищення сакральних об’єктів у XIX–XX ст. (перебудова монастиря капуцинів, ліквідація кладовища під стадіон, перепрофілювання костелу під спортивний зал) </w:t>
      </w:r>
      <w:r>
        <w:rPr>
          <w:rStyle w:val="Citation-373"/>
          <w:rFonts w:cs="Times New Roman" w:ascii="Times New Roman" w:hAnsi="Times New Roman"/>
          <w:sz w:val="27"/>
          <w:szCs w:val="27"/>
          <w:lang w:val="uk-UA"/>
        </w:rPr>
        <w:t>до сучасної комеморації</w:t>
      </w:r>
      <w:r>
        <w:rPr>
          <w:rFonts w:cs="Times New Roman" w:ascii="Times New Roman" w:hAnsi="Times New Roman"/>
          <w:sz w:val="27"/>
          <w:szCs w:val="27"/>
          <w:lang w:val="uk-UA"/>
        </w:rPr>
        <w:t xml:space="preserve"> польських діячів.</w:t>
      </w:r>
    </w:p>
    <w:p>
      <w:pPr>
        <w:pStyle w:val="Normal"/>
        <w:spacing w:lineRule="auto" w:line="360"/>
        <w:jc w:val="both"/>
        <w:rPr>
          <w:rFonts w:ascii="Times New Roman" w:hAnsi="Times New Roman" w:eastAsia="Times New Roman" w:cs="Times New Roman"/>
          <w:sz w:val="27"/>
          <w:szCs w:val="27"/>
          <w:lang w:val="uk-UA"/>
        </w:rPr>
      </w:pPr>
      <w:r>
        <w:rPr>
          <w:rFonts w:eastAsia="Times New Roman" w:cs="Times New Roman" w:ascii="Times New Roman" w:hAnsi="Times New Roman"/>
          <w:b/>
          <w:bCs/>
          <w:sz w:val="27"/>
          <w:szCs w:val="27"/>
          <w:lang w:val="uk-UA"/>
        </w:rPr>
        <w:t>6. Експериментальна частина:</w:t>
      </w:r>
      <w:r>
        <w:rPr>
          <w:rFonts w:eastAsia="Times New Roman" w:cs="Times New Roman" w:ascii="Times New Roman" w:hAnsi="Times New Roman"/>
          <w:sz w:val="27"/>
          <w:szCs w:val="27"/>
          <w:lang w:val="uk-UA"/>
        </w:rPr>
        <w:t xml:space="preserve"> Дослідження базується на поєднанні аналізу опублікованих джерел та літератури, польових обстежень та інтерв’ю.  </w:t>
      </w:r>
    </w:p>
    <w:p>
      <w:pPr>
        <w:pStyle w:val="NormalWeb"/>
        <w:spacing w:lineRule="auto" w:line="360" w:beforeAutospacing="0" w:before="0" w:afterAutospacing="0" w:after="0"/>
        <w:jc w:val="both"/>
        <w:rPr>
          <w:sz w:val="27"/>
          <w:szCs w:val="27"/>
          <w:lang w:val="uk-UA"/>
        </w:rPr>
      </w:pPr>
      <w:r>
        <w:rPr>
          <w:rStyle w:val="Citation-371"/>
          <w:sz w:val="27"/>
          <w:szCs w:val="27"/>
          <w:lang w:val="uk-UA"/>
        </w:rPr>
        <w:t>Особистий внесок автора полягає у комплексному аналізі «живої пам’яті» та візуалізації історичних процесів</w:t>
      </w:r>
      <w:r>
        <w:rPr>
          <w:sz w:val="27"/>
          <w:szCs w:val="27"/>
          <w:lang w:val="uk-UA"/>
        </w:rPr>
        <w:t>:</w:t>
      </w:r>
    </w:p>
    <w:p>
      <w:pPr>
        <w:pStyle w:val="NormalWeb"/>
        <w:spacing w:lineRule="auto" w:line="360" w:beforeAutospacing="0" w:before="0" w:afterAutospacing="0" w:after="0"/>
        <w:jc w:val="both"/>
        <w:rPr>
          <w:sz w:val="27"/>
          <w:szCs w:val="27"/>
          <w:lang w:val="ru-RU"/>
        </w:rPr>
      </w:pPr>
      <w:r>
        <w:rPr>
          <w:rStyle w:val="Citation-370"/>
          <w:b/>
          <w:bCs/>
          <w:sz w:val="27"/>
          <w:szCs w:val="27"/>
          <w:lang w:val="uk-UA"/>
        </w:rPr>
        <w:t>Статистичний аналіз:</w:t>
      </w:r>
      <w:r>
        <w:rPr>
          <w:rStyle w:val="Citation-370"/>
          <w:sz w:val="27"/>
          <w:szCs w:val="27"/>
          <w:lang w:val="uk-UA"/>
        </w:rPr>
        <w:t xml:space="preserve"> автором розроблено діаграму динаміки чисельності польської громади (XVI–XXI ст.) на основі статистичних даних</w:t>
      </w:r>
      <w:r>
        <w:rPr>
          <w:rStyle w:val="Citation-370"/>
          <w:sz w:val="27"/>
          <w:szCs w:val="27"/>
          <w:lang w:val="ru-RU"/>
        </w:rPr>
        <w:t>.</w:t>
      </w:r>
    </w:p>
    <w:p>
      <w:pPr>
        <w:pStyle w:val="NormalWeb"/>
        <w:spacing w:lineRule="auto" w:line="360" w:beforeAutospacing="0" w:before="0" w:afterAutospacing="0" w:after="0"/>
        <w:jc w:val="both"/>
        <w:rPr>
          <w:sz w:val="27"/>
          <w:szCs w:val="27"/>
          <w:lang w:val="uk-UA"/>
        </w:rPr>
      </w:pPr>
      <w:r>
        <w:rPr>
          <w:b/>
          <w:bCs/>
          <w:sz w:val="27"/>
          <w:szCs w:val="27"/>
          <w:lang w:val="uk-UA"/>
        </w:rPr>
        <w:t>Метод «усної історії»:</w:t>
      </w:r>
      <w:r>
        <w:rPr>
          <w:sz w:val="27"/>
          <w:szCs w:val="27"/>
          <w:lang w:val="uk-UA"/>
        </w:rPr>
        <w:t xml:space="preserve"> проведено інтерв’ю з о. </w:t>
      </w:r>
      <w:r>
        <w:rPr>
          <w:rStyle w:val="Citation-369"/>
          <w:sz w:val="27"/>
          <w:szCs w:val="27"/>
          <w:lang w:val="uk-UA"/>
        </w:rPr>
        <w:t>Вітольдом-Йосифом Ковалівим та вчителькою польської мови Острозького ліцею №2 Ольгою Скрипкою, що дозволило верифікувати дані про</w:t>
      </w:r>
      <w:r>
        <w:rPr>
          <w:sz w:val="27"/>
          <w:szCs w:val="27"/>
          <w:lang w:val="uk-UA"/>
        </w:rPr>
        <w:t xml:space="preserve"> збереження польської ідентичності та сучасного стану освітньо-культурного діалогу в Острозі</w:t>
      </w:r>
    </w:p>
    <w:p>
      <w:pPr>
        <w:pStyle w:val="NormalWeb"/>
        <w:spacing w:lineRule="auto" w:line="360" w:beforeAutospacing="0" w:before="0" w:afterAutospacing="0" w:after="0"/>
        <w:jc w:val="both"/>
        <w:rPr>
          <w:sz w:val="27"/>
          <w:szCs w:val="27"/>
          <w:lang w:val="uk-UA"/>
        </w:rPr>
      </w:pPr>
      <w:r>
        <w:rPr>
          <w:rStyle w:val="Citation-368"/>
          <w:b/>
          <w:bCs/>
          <w:sz w:val="27"/>
          <w:szCs w:val="27"/>
          <w:lang w:val="uk-UA"/>
        </w:rPr>
        <w:t>Фотофіксація:</w:t>
      </w:r>
      <w:r>
        <w:rPr>
          <w:rStyle w:val="Citation-368"/>
          <w:sz w:val="27"/>
          <w:szCs w:val="27"/>
          <w:lang w:val="uk-UA"/>
        </w:rPr>
        <w:t xml:space="preserve"> створено фотофонд пам’яток (костел, ліцей №2, меморіальні об’єкти), що засвідчує реальний стан збереження спадщини</w:t>
      </w:r>
      <w:r>
        <w:rPr>
          <w:sz w:val="27"/>
          <w:szCs w:val="27"/>
          <w:lang w:val="uk-UA"/>
        </w:rPr>
        <w:t>.</w:t>
      </w:r>
    </w:p>
    <w:p>
      <w:pPr>
        <w:pStyle w:val="NormalWeb"/>
        <w:spacing w:lineRule="auto" w:line="360" w:beforeAutospacing="0" w:before="0" w:afterAutospacing="0" w:after="0"/>
        <w:jc w:val="both"/>
        <w:rPr>
          <w:sz w:val="27"/>
          <w:szCs w:val="27"/>
          <w:lang w:val="uk-UA"/>
        </w:rPr>
      </w:pPr>
      <w:r>
        <w:rPr>
          <w:rStyle w:val="Citation-367"/>
          <w:b/>
          <w:bCs/>
          <w:sz w:val="27"/>
          <w:szCs w:val="27"/>
          <w:lang w:val="uk-UA"/>
        </w:rPr>
        <w:t>Картографування:</w:t>
      </w:r>
      <w:r>
        <w:rPr>
          <w:rStyle w:val="Citation-367"/>
          <w:sz w:val="27"/>
          <w:szCs w:val="27"/>
          <w:lang w:val="uk-UA"/>
        </w:rPr>
        <w:t xml:space="preserve"> розроблено авторську карту «Острог польський», де локалізовано ключові історичні та сучасні об’єкти, включаючи «втрачені» місця пам’яті (некрополь)</w:t>
      </w:r>
      <w:r>
        <w:rPr>
          <w:sz w:val="27"/>
          <w:szCs w:val="27"/>
          <w:lang w:val="uk-UA"/>
        </w:rPr>
        <w:t>.</w:t>
      </w:r>
    </w:p>
    <w:p>
      <w:pPr>
        <w:pStyle w:val="Normal"/>
        <w:spacing w:lineRule="auto" w:line="360"/>
        <w:jc w:val="both"/>
        <w:rPr>
          <w:rStyle w:val="Citation-365"/>
          <w:rFonts w:ascii="Times New Roman" w:hAnsi="Times New Roman" w:cs="Times New Roman"/>
          <w:sz w:val="27"/>
          <w:szCs w:val="27"/>
          <w:lang w:val="uk-UA"/>
        </w:rPr>
      </w:pPr>
      <w:r>
        <w:rPr>
          <w:rFonts w:cs="Times New Roman" w:ascii="Times New Roman" w:hAnsi="Times New Roman"/>
          <w:b/>
          <w:bCs/>
          <w:sz w:val="27"/>
          <w:szCs w:val="27"/>
          <w:lang w:val="uk-UA"/>
        </w:rPr>
        <w:t>7. Висновки</w:t>
      </w:r>
      <w:r>
        <w:rPr>
          <w:rFonts w:cs="Times New Roman" w:ascii="Times New Roman" w:hAnsi="Times New Roman"/>
          <w:b/>
          <w:bCs/>
          <w:sz w:val="27"/>
          <w:szCs w:val="27"/>
          <w:lang w:val="ru-RU"/>
        </w:rPr>
        <w:t xml:space="preserve">: </w:t>
      </w:r>
      <w:r>
        <w:rPr>
          <w:rFonts w:eastAsia="Times New Roman" w:cs="Times New Roman" w:ascii="Times New Roman" w:hAnsi="Times New Roman"/>
          <w:sz w:val="27"/>
          <w:szCs w:val="27"/>
          <w:lang w:val="uk-UA"/>
        </w:rPr>
        <w:t xml:space="preserve">Доведено, що польська спадщина є невід’ємним компонентом полікультурного коду Острога. </w:t>
      </w:r>
      <w:r>
        <w:rPr>
          <w:rStyle w:val="Citation-366"/>
          <w:rFonts w:cs="Times New Roman" w:ascii="Times New Roman" w:hAnsi="Times New Roman"/>
          <w:sz w:val="27"/>
          <w:szCs w:val="27"/>
          <w:lang w:val="uk-UA"/>
        </w:rPr>
        <w:t>Вона  трансформувалася з демографічного показника минулого у дієвий інструмент міжнародної співпраці та культурної дипломатії</w:t>
      </w:r>
      <w:r>
        <w:rPr>
          <w:rFonts w:cs="Times New Roman" w:ascii="Times New Roman" w:hAnsi="Times New Roman"/>
          <w:sz w:val="27"/>
          <w:szCs w:val="27"/>
          <w:lang w:val="uk-UA"/>
        </w:rPr>
        <w:t xml:space="preserve">. </w:t>
      </w:r>
      <w:r>
        <w:rPr>
          <w:rStyle w:val="Citation-365"/>
          <w:rFonts w:cs="Times New Roman" w:ascii="Times New Roman" w:hAnsi="Times New Roman"/>
          <w:sz w:val="27"/>
          <w:szCs w:val="27"/>
          <w:lang w:val="uk-UA"/>
        </w:rPr>
        <w:t>Попри невелику чисельність громади (</w:t>
      </w:r>
      <w:r>
        <w:rPr>
          <w:rStyle w:val="Math-inline"/>
          <w:rFonts w:cs="Times New Roman" w:ascii="Times New Roman" w:hAnsi="Times New Roman"/>
          <w:sz w:val="27"/>
          <w:szCs w:val="27"/>
          <w:lang w:val="uk-UA"/>
        </w:rPr>
        <w:t>1-2%</w:t>
      </w:r>
      <w:r>
        <w:rPr>
          <w:rStyle w:val="Citation-365"/>
          <w:rFonts w:cs="Times New Roman" w:ascii="Times New Roman" w:hAnsi="Times New Roman"/>
          <w:sz w:val="27"/>
          <w:szCs w:val="27"/>
          <w:lang w:val="uk-UA"/>
        </w:rPr>
        <w:t xml:space="preserve">), місто демонструє високу інтенсивність українсько-польських зв’язків через освітнє партнерство, релігійну консолідацію та зрілість локальної ідентичності, що виражається у повазі до спільного історичного минулого. </w:t>
      </w:r>
    </w:p>
    <w:p>
      <w:pPr>
        <w:pStyle w:val="Normal"/>
        <w:spacing w:lineRule="auto" w:line="360"/>
        <w:jc w:val="both"/>
        <w:rPr>
          <w:rFonts w:ascii="Times New Roman" w:hAnsi="Times New Roman" w:eastAsia="Times New Roman" w:cs="Times New Roman"/>
          <w:sz w:val="27"/>
          <w:szCs w:val="27"/>
          <w:lang w:val="uk-UA"/>
        </w:rPr>
      </w:pPr>
      <w:r>
        <w:rPr>
          <w:rFonts w:eastAsia="Times New Roman" w:cs="Times New Roman" w:ascii="Times New Roman" w:hAnsi="Times New Roman"/>
          <w:sz w:val="27"/>
          <w:szCs w:val="27"/>
          <w:lang w:val="uk-UA"/>
        </w:rPr>
      </w:r>
    </w:p>
    <w:sectPr>
      <w:type w:val="nextPage"/>
      <w:pgSz w:w="11906" w:h="16838"/>
      <w:pgMar w:left="1440" w:right="962" w:gutter="0" w:header="0" w:top="684" w:footer="0" w:bottom="144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cc" w:characterSet="windows-1251"/>
    <w:family w:val="roman"/>
    <w:pitch w:val="variable"/>
  </w:font>
  <w:font w:name="Calibri">
    <w:charset w:val="cc" w:characterSet="windows-1251"/>
    <w:family w:val="roman"/>
    <w:pitch w:val="variable"/>
  </w:font>
  <w:font w:name="Times New Roman">
    <w:charset w:val="cc" w:characterSet="windows-1251"/>
    <w:family w:val="roman"/>
    <w:pitch w:val="variable"/>
  </w:font>
  <w:font w:name="Liberation Sans">
    <w:altName w:val="Arial"/>
    <w:charset w:val="cc" w:characterSet="windows-1251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start"/>
      <w:pPr>
        <w:tabs>
          <w:tab w:val="num" w:pos="720"/>
        </w:tabs>
        <w:ind w:start="720" w:hanging="360"/>
      </w:pPr>
      <w:rPr/>
    </w:lvl>
    <w:lvl w:ilvl="1">
      <w:start w:val="1"/>
      <w:numFmt w:val="decimal"/>
      <w:lvlText w:val="%2."/>
      <w:lvlJc w:val="start"/>
      <w:pPr>
        <w:tabs>
          <w:tab w:val="num" w:pos="1440"/>
        </w:tabs>
        <w:ind w:start="1440" w:hanging="360"/>
      </w:pPr>
      <w:rPr/>
    </w:lvl>
    <w:lvl w:ilvl="2">
      <w:start w:val="1"/>
      <w:numFmt w:val="decimal"/>
      <w:lvlText w:val="%3."/>
      <w:lvlJc w:val="start"/>
      <w:pPr>
        <w:tabs>
          <w:tab w:val="num" w:pos="2160"/>
        </w:tabs>
        <w:ind w:start="2160" w:hanging="360"/>
      </w:pPr>
      <w:rPr/>
    </w:lvl>
    <w:lvl w:ilvl="3">
      <w:start w:val="1"/>
      <w:numFmt w:val="decimal"/>
      <w:lvlText w:val="%4."/>
      <w:lvlJc w:val="start"/>
      <w:pPr>
        <w:tabs>
          <w:tab w:val="num" w:pos="2880"/>
        </w:tabs>
        <w:ind w:start="2880" w:hanging="360"/>
      </w:pPr>
      <w:rPr/>
    </w:lvl>
    <w:lvl w:ilvl="4">
      <w:start w:val="1"/>
      <w:numFmt w:val="decimal"/>
      <w:lvlText w:val="%5."/>
      <w:lvlJc w:val="start"/>
      <w:pPr>
        <w:tabs>
          <w:tab w:val="num" w:pos="3600"/>
        </w:tabs>
        <w:ind w:start="3600" w:hanging="360"/>
      </w:pPr>
      <w:rPr/>
    </w:lvl>
    <w:lvl w:ilvl="5">
      <w:start w:val="1"/>
      <w:numFmt w:val="decimal"/>
      <w:lvlText w:val="%6."/>
      <w:lvlJc w:val="start"/>
      <w:pPr>
        <w:tabs>
          <w:tab w:val="num" w:pos="4320"/>
        </w:tabs>
        <w:ind w:start="4320" w:hanging="360"/>
      </w:pPr>
      <w:rPr/>
    </w:lvl>
    <w:lvl w:ilvl="6">
      <w:start w:val="1"/>
      <w:numFmt w:val="decimal"/>
      <w:lvlText w:val="%7."/>
      <w:lvlJc w:val="start"/>
      <w:pPr>
        <w:tabs>
          <w:tab w:val="num" w:pos="5040"/>
        </w:tabs>
        <w:ind w:start="5040" w:hanging="360"/>
      </w:pPr>
      <w:rPr/>
    </w:lvl>
    <w:lvl w:ilvl="7">
      <w:start w:val="1"/>
      <w:numFmt w:val="decimal"/>
      <w:lvlText w:val="%8."/>
      <w:lvlJc w:val="start"/>
      <w:pPr>
        <w:tabs>
          <w:tab w:val="num" w:pos="5760"/>
        </w:tabs>
        <w:ind w:start="5760" w:hanging="360"/>
      </w:pPr>
      <w:rPr/>
    </w:lvl>
    <w:lvl w:ilvl="8">
      <w:start w:val="1"/>
      <w:numFmt w:val="decimal"/>
      <w:lvlText w:val="%9."/>
      <w:lvlJc w:val="start"/>
      <w:pPr>
        <w:tabs>
          <w:tab w:val="num" w:pos="6480"/>
        </w:tabs>
        <w:ind w:start="6480" w:hanging="360"/>
      </w:pPr>
      <w:rPr/>
    </w:lvl>
  </w:abstractNum>
  <w:abstractNum w:abstractNumId="2">
    <w:lvl w:ilvl="0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33"/>
  <w:defaultTabStop w:val="720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en-US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4"/>
        <w:szCs w:val="24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bidi w:val="0"/>
      <w:spacing w:before="0" w:after="0"/>
      <w:jc w:val="star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4"/>
      <w:szCs w:val="24"/>
      <w:lang w:val="en-US" w:eastAsia="en-US" w:bidi="ar-SA"/>
    </w:rPr>
  </w:style>
  <w:style w:type="paragraph" w:styleId="Heading3">
    <w:name w:val="Heading 3"/>
    <w:basedOn w:val="Normal"/>
    <w:link w:val="Heading3Char"/>
    <w:uiPriority w:val="9"/>
    <w:qFormat/>
    <w:rsid w:val="009b4e0b"/>
    <w:pPr>
      <w:spacing w:beforeAutospacing="1" w:afterAutospacing="1"/>
      <w:outlineLvl w:val="2"/>
    </w:pPr>
    <w:rPr>
      <w:rFonts w:ascii="Times New Roman" w:hAnsi="Times New Roman" w:eastAsia="Times New Roman" w:cs="Times New Roman"/>
      <w:b/>
      <w:bCs/>
      <w:sz w:val="27"/>
      <w:szCs w:val="27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Heading3Char" w:customStyle="1">
    <w:name w:val="Heading 3 Char"/>
    <w:basedOn w:val="DefaultParagraphFont"/>
    <w:uiPriority w:val="9"/>
    <w:qFormat/>
    <w:rsid w:val="009b4e0b"/>
    <w:rPr>
      <w:rFonts w:ascii="Times New Roman" w:hAnsi="Times New Roman" w:eastAsia="Times New Roman" w:cs="Times New Roman"/>
      <w:b/>
      <w:bCs/>
      <w:sz w:val="27"/>
      <w:szCs w:val="27"/>
    </w:rPr>
  </w:style>
  <w:style w:type="character" w:styleId="Citation-76" w:customStyle="1">
    <w:name w:val="citation-76"/>
    <w:basedOn w:val="DefaultParagraphFont"/>
    <w:qFormat/>
    <w:rsid w:val="00986ff2"/>
    <w:rPr/>
  </w:style>
  <w:style w:type="character" w:styleId="Citation-75" w:customStyle="1">
    <w:name w:val="citation-75"/>
    <w:basedOn w:val="DefaultParagraphFont"/>
    <w:qFormat/>
    <w:rsid w:val="00986ff2"/>
    <w:rPr/>
  </w:style>
  <w:style w:type="character" w:styleId="1" w:customStyle="1">
    <w:name w:val="Основний текст Знак1"/>
    <w:basedOn w:val="DefaultParagraphFont"/>
    <w:qFormat/>
    <w:rsid w:val="00121303"/>
    <w:rPr>
      <w:rFonts w:cs="Times New Roman"/>
      <w:sz w:val="26"/>
      <w:szCs w:val="26"/>
    </w:rPr>
  </w:style>
  <w:style w:type="character" w:styleId="Math-inline" w:customStyle="1">
    <w:name w:val="math-inline"/>
    <w:basedOn w:val="DefaultParagraphFont"/>
    <w:qFormat/>
    <w:rsid w:val="002776a6"/>
    <w:rPr/>
  </w:style>
  <w:style w:type="character" w:styleId="Citation-375" w:customStyle="1">
    <w:name w:val="citation-375"/>
    <w:basedOn w:val="DefaultParagraphFont"/>
    <w:qFormat/>
    <w:rsid w:val="002776a6"/>
    <w:rPr/>
  </w:style>
  <w:style w:type="character" w:styleId="Citation-374" w:customStyle="1">
    <w:name w:val="citation-374"/>
    <w:basedOn w:val="DefaultParagraphFont"/>
    <w:qFormat/>
    <w:rsid w:val="002776a6"/>
    <w:rPr/>
  </w:style>
  <w:style w:type="character" w:styleId="Citation-373" w:customStyle="1">
    <w:name w:val="citation-373"/>
    <w:basedOn w:val="DefaultParagraphFont"/>
    <w:qFormat/>
    <w:rsid w:val="002776a6"/>
    <w:rPr/>
  </w:style>
  <w:style w:type="character" w:styleId="Citation-372" w:customStyle="1">
    <w:name w:val="citation-372"/>
    <w:basedOn w:val="DefaultParagraphFont"/>
    <w:qFormat/>
    <w:rsid w:val="002776a6"/>
    <w:rPr/>
  </w:style>
  <w:style w:type="character" w:styleId="Citation-371" w:customStyle="1">
    <w:name w:val="citation-371"/>
    <w:basedOn w:val="DefaultParagraphFont"/>
    <w:qFormat/>
    <w:rsid w:val="002776a6"/>
    <w:rPr/>
  </w:style>
  <w:style w:type="character" w:styleId="Citation-370" w:customStyle="1">
    <w:name w:val="citation-370"/>
    <w:basedOn w:val="DefaultParagraphFont"/>
    <w:qFormat/>
    <w:rsid w:val="002776a6"/>
    <w:rPr/>
  </w:style>
  <w:style w:type="character" w:styleId="Citation-369" w:customStyle="1">
    <w:name w:val="citation-369"/>
    <w:basedOn w:val="DefaultParagraphFont"/>
    <w:qFormat/>
    <w:rsid w:val="002776a6"/>
    <w:rPr/>
  </w:style>
  <w:style w:type="character" w:styleId="Citation-368" w:customStyle="1">
    <w:name w:val="citation-368"/>
    <w:basedOn w:val="DefaultParagraphFont"/>
    <w:qFormat/>
    <w:rsid w:val="002776a6"/>
    <w:rPr/>
  </w:style>
  <w:style w:type="character" w:styleId="Citation-367" w:customStyle="1">
    <w:name w:val="citation-367"/>
    <w:basedOn w:val="DefaultParagraphFont"/>
    <w:qFormat/>
    <w:rsid w:val="002776a6"/>
    <w:rPr/>
  </w:style>
  <w:style w:type="character" w:styleId="Citation-366" w:customStyle="1">
    <w:name w:val="citation-366"/>
    <w:basedOn w:val="DefaultParagraphFont"/>
    <w:qFormat/>
    <w:rsid w:val="002776a6"/>
    <w:rPr/>
  </w:style>
  <w:style w:type="character" w:styleId="Citation-365" w:customStyle="1">
    <w:name w:val="citation-365"/>
    <w:basedOn w:val="DefaultParagraphFont"/>
    <w:qFormat/>
    <w:rsid w:val="002776a6"/>
    <w:rPr/>
  </w:style>
  <w:style w:type="character" w:styleId="Agcmg" w:customStyle="1">
    <w:name w:val="a_gcmg"/>
    <w:basedOn w:val="DefaultParagraphFont"/>
    <w:qFormat/>
    <w:rsid w:val="00b42a0d"/>
    <w:rPr/>
  </w:style>
  <w:style w:type="paragraph" w:styleId="Style13">
    <w:name w:val="Заголовок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Style14">
    <w:name w:val="Покажчик"/>
    <w:basedOn w:val="Normal"/>
    <w:qFormat/>
    <w:pPr>
      <w:suppressLineNumbers/>
    </w:pPr>
    <w:rPr>
      <w:rFonts w:cs="Arial"/>
    </w:rPr>
  </w:style>
  <w:style w:type="paragraph" w:styleId="NormalWeb">
    <w:name w:val="Normal (Web)"/>
    <w:basedOn w:val="Normal"/>
    <w:uiPriority w:val="99"/>
    <w:unhideWhenUsed/>
    <w:qFormat/>
    <w:rsid w:val="009b4e0b"/>
    <w:pPr>
      <w:spacing w:beforeAutospacing="1" w:afterAutospacing="1"/>
    </w:pPr>
    <w:rPr>
      <w:rFonts w:ascii="Times New Roman" w:hAnsi="Times New Roman" w:eastAsia="Times New Roman" w:cs="Times New Roman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Application>LibreOffice/7.6.4.1$Windows_X86_64 LibreOffice_project/e19e193f88cd6c0525a17fb7a176ed8e6a3e2aa1</Application>
  <AppVersion>15.0000</AppVersion>
  <Pages>2</Pages>
  <Words>470</Words>
  <Characters>3375</Characters>
  <CharactersWithSpaces>3816</CharactersWithSpaces>
  <Paragraphs>29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2026-04-10T15:49:00Z</dcterms:created>
  <dc:creator>Microsoft Office User</dc:creator>
  <dc:description/>
  <dc:language>uk-UA</dc:language>
  <cp:lastModifiedBy>Microsoft Office User</cp:lastModifiedBy>
  <dcterms:modified xsi:type="dcterms:W3CDTF">2026-04-14T03:12:00Z</dcterms:modified>
  <cp:revision>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