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8D7F0">
      <w:pPr>
        <w:bidi w:val="0"/>
        <w:rPr>
          <w:b/>
          <w:bCs/>
          <w:sz w:val="28"/>
          <w:szCs w:val="28"/>
          <w:lang w:val="uk-UA" w:eastAsia="ru-RU"/>
        </w:rPr>
      </w:pPr>
      <w:r>
        <w:rPr>
          <w:b/>
          <w:bCs/>
          <w:sz w:val="28"/>
          <w:szCs w:val="28"/>
          <w:lang w:val="uk-UA" w:eastAsia="ru-RU"/>
        </w:rPr>
        <w:t>ТЕЗИ ТВОРЧОЇ РОБОТИ</w:t>
      </w:r>
    </w:p>
    <w:p w14:paraId="48C7317B">
      <w:pPr>
        <w:pStyle w:val="5"/>
        <w:keepNext w:val="0"/>
        <w:keepLines w:val="0"/>
        <w:widowControl/>
        <w:suppressLineNumbers w:val="0"/>
        <w:spacing w:line="15" w:lineRule="atLeast"/>
        <w:ind w:left="0"/>
        <w:jc w:val="both"/>
        <w:rPr>
          <w:rFonts w:hint="default"/>
          <w:b w:val="0"/>
          <w:bCs w:val="0"/>
          <w:sz w:val="28"/>
          <w:szCs w:val="28"/>
          <w:lang w:val="uk-UA"/>
        </w:rPr>
      </w:pPr>
      <w:r>
        <w:rPr>
          <w:rFonts w:eastAsia="Times New Roman" w:cs="Times New Roman"/>
          <w:b/>
          <w:bCs/>
          <w:sz w:val="28"/>
          <w:szCs w:val="28"/>
          <w:lang w:val="uk-UA" w:eastAsia="ru-RU"/>
        </w:rPr>
        <w:t>Назва</w:t>
      </w:r>
      <w:r>
        <w:rPr>
          <w:rFonts w:hint="default" w:eastAsia="Times New Roman" w:cs="Times New Roman"/>
          <w:b/>
          <w:bCs/>
          <w:sz w:val="28"/>
          <w:szCs w:val="28"/>
          <w:lang w:val="en-US" w:eastAsia="ru-RU"/>
        </w:rPr>
        <w:t xml:space="preserve"> </w:t>
      </w:r>
      <w:r>
        <w:rPr>
          <w:rFonts w:hint="default" w:eastAsia="Times New Roman" w:cs="Times New Roman"/>
          <w:b/>
          <w:bCs/>
          <w:sz w:val="28"/>
          <w:szCs w:val="28"/>
          <w:lang w:val="uk-UA" w:eastAsia="ru-RU"/>
        </w:rPr>
        <w:t>проекту:</w:t>
      </w:r>
      <w:r>
        <w:rPr>
          <w:rFonts w:hint="default" w:eastAsia="Times New Roman" w:cs="Times New Roman"/>
          <w:b/>
          <w:bCs/>
          <w:sz w:val="28"/>
          <w:szCs w:val="28"/>
          <w:lang w:val="en-US" w:eastAsia="ru-RU"/>
        </w:rPr>
        <w:t xml:space="preserve">  </w:t>
      </w:r>
      <w:r>
        <w:rPr>
          <w:rFonts w:hint="default" w:eastAsia="Times New Roman" w:cs="Times New Roman"/>
          <w:b/>
          <w:bCs/>
          <w:sz w:val="28"/>
          <w:szCs w:val="28"/>
          <w:lang w:val="uk-UA" w:eastAsia="ru-RU"/>
        </w:rPr>
        <w:t>Ареали</w:t>
      </w:r>
      <w:r>
        <w:rPr>
          <w:rFonts w:hint="default" w:eastAsia="Times New Roman" w:cs="Times New Roman"/>
          <w:b/>
          <w:bCs/>
          <w:sz w:val="28"/>
          <w:szCs w:val="28"/>
          <w:lang w:val="en-US" w:eastAsia="ru-RU"/>
        </w:rPr>
        <w:t xml:space="preserve"> </w:t>
      </w:r>
      <w:r>
        <w:rPr>
          <w:rFonts w:hint="default" w:eastAsia="Times New Roman" w:cs="Times New Roman"/>
          <w:b/>
          <w:bCs/>
          <w:sz w:val="28"/>
          <w:szCs w:val="28"/>
          <w:lang w:val="uk-UA" w:eastAsia="ru-RU"/>
        </w:rPr>
        <w:t>найбільшої концентрації найпоширеніших шкідників плодово-ягідних культур Хотинської височини.</w:t>
      </w:r>
    </w:p>
    <w:p w14:paraId="097E6B2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Автор: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uk-UA"/>
        </w:rPr>
        <w:t>Василов Дмитро</w:t>
      </w:r>
      <w:r>
        <w:rPr>
          <w:rFonts w:ascii="Times New Roman" w:hAnsi="Times New Roman" w:cs="Times New Roman"/>
          <w:sz w:val="28"/>
          <w:szCs w:val="28"/>
        </w:rPr>
        <w:t xml:space="preserve"> Олекс</w:t>
      </w:r>
      <w:r>
        <w:rPr>
          <w:rFonts w:ascii="Times New Roman" w:hAnsi="Times New Roman" w:cs="Times New Roman"/>
          <w:sz w:val="28"/>
          <w:szCs w:val="28"/>
          <w:lang w:val="uk-UA"/>
        </w:rPr>
        <w:t>ійо</w:t>
      </w:r>
      <w:r>
        <w:rPr>
          <w:rFonts w:ascii="Times New Roman" w:hAnsi="Times New Roman" w:cs="Times New Roman"/>
          <w:sz w:val="28"/>
          <w:szCs w:val="28"/>
        </w:rPr>
        <w:t xml:space="preserve">вич,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Грозинецький ліцей Топорівської сільської ради Чернівецького району Чернівецької області, </w:t>
      </w:r>
      <w:r>
        <w:rPr>
          <w:rFonts w:hint="default" w:cs="Times New Roman"/>
          <w:sz w:val="28"/>
          <w:szCs w:val="28"/>
          <w:lang w:val="uk-UA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клас</w:t>
      </w:r>
      <w:r>
        <w:rPr>
          <w:rFonts w:ascii="Times New Roman" w:hAnsi="Times New Roman" w:cs="Times New Roman"/>
          <w:sz w:val="28"/>
          <w:szCs w:val="28"/>
          <w:lang w:val="uk-UA"/>
        </w:rPr>
        <w:t>, с. Грозинці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18ACD7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hint="default" w:eastAsia="Times New Roman" w:cs="Times New Roman"/>
          <w:b/>
          <w:bCs/>
          <w:sz w:val="28"/>
          <w:szCs w:val="28"/>
          <w:lang w:val="uk-UA" w:eastAsia="ru-RU"/>
        </w:rPr>
        <w:t xml:space="preserve">Науковий керівник: </w:t>
      </w:r>
      <w:r>
        <w:rPr>
          <w:rFonts w:hint="default" w:eastAsia="Times New Roman" w:cs="Times New Roman"/>
          <w:b w:val="0"/>
          <w:bCs w:val="0"/>
          <w:sz w:val="28"/>
          <w:szCs w:val="28"/>
          <w:lang w:val="uk-UA" w:eastAsia="ru-RU"/>
        </w:rPr>
        <w:t xml:space="preserve">Антонюк Діна Вікторівна, вчитель географії та пізнаємо природу </w:t>
      </w:r>
      <w:r>
        <w:rPr>
          <w:rFonts w:ascii="Times New Roman" w:hAnsi="Times New Roman" w:cs="Times New Roman"/>
          <w:sz w:val="28"/>
          <w:szCs w:val="28"/>
          <w:lang w:val="uk-UA"/>
        </w:rPr>
        <w:t>Грозинецького ліцею Топорівської сільської ради Чернівецького району Чернівецької області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A2540C4">
      <w:pPr>
        <w:spacing w:after="0" w:line="360" w:lineRule="auto"/>
        <w:jc w:val="both"/>
        <w:rPr>
          <w:rFonts w:hint="default" w:eastAsia="e-Ukraine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uk-UA"/>
        </w:rPr>
      </w:pPr>
      <w:r>
        <w:rPr>
          <w:rFonts w:hint="default" w:eastAsia="Times New Roman" w:cs="Times New Roman"/>
          <w:b/>
          <w:bCs/>
          <w:sz w:val="28"/>
          <w:szCs w:val="28"/>
          <w:lang w:val="uk-UA" w:eastAsia="ru-RU"/>
        </w:rPr>
        <w:t xml:space="preserve">Номінація: </w:t>
      </w:r>
      <w:r>
        <w:rPr>
          <w:rFonts w:hint="default" w:eastAsia="e-Ukraine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uk-UA"/>
        </w:rPr>
        <w:t>Еколог-Юніор</w:t>
      </w:r>
    </w:p>
    <w:p w14:paraId="7C3EC386">
      <w:pPr>
        <w:spacing w:after="0" w:line="360" w:lineRule="auto"/>
        <w:jc w:val="both"/>
        <w:rPr>
          <w:i w:val="0"/>
          <w:iCs w:val="0"/>
          <w:color w:val="0A0A0A"/>
          <w:spacing w:val="0"/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Актуальність та мета.</w:t>
      </w:r>
      <w:r>
        <w:rPr>
          <w:i w:val="0"/>
          <w:iCs w:val="0"/>
          <w:color w:val="0A0A0A"/>
          <w:spacing w:val="0"/>
          <w:sz w:val="28"/>
          <w:szCs w:val="28"/>
        </w:rPr>
        <w:t xml:space="preserve"> Сучасне садівництво неможливе без захисту рослин, проте надмірне використання отрутохімікатів нищить екосистему. Метою моєї роботи було </w:t>
      </w: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вивчити поширення шкідників на території Хотинської височини та обґрунтувати екологічні методи моніторингу</w:t>
      </w:r>
      <w:r>
        <w:rPr>
          <w:i w:val="0"/>
          <w:iCs w:val="0"/>
          <w:color w:val="0A0A0A"/>
          <w:spacing w:val="0"/>
          <w:sz w:val="28"/>
          <w:szCs w:val="28"/>
        </w:rPr>
        <w:t>, що дозволяють зменшити хімічне навантаження на довкілля.</w:t>
      </w:r>
    </w:p>
    <w:p w14:paraId="72195B11">
      <w:pPr>
        <w:pStyle w:val="5"/>
        <w:keepNext w:val="0"/>
        <w:keepLines w:val="0"/>
        <w:widowControl/>
        <w:suppressLineNumbers w:val="0"/>
        <w:spacing w:line="15" w:lineRule="atLeast"/>
        <w:jc w:val="center"/>
        <w:rPr>
          <w:b/>
          <w:bCs/>
          <w:i w:val="0"/>
          <w:iCs w:val="0"/>
          <w:caps w:val="0"/>
          <w:color w:val="0A0A0A"/>
          <w:spacing w:val="0"/>
          <w:sz w:val="28"/>
          <w:szCs w:val="28"/>
        </w:rPr>
      </w:pPr>
      <w:r>
        <w:rPr>
          <w:b/>
          <w:bCs/>
          <w:i w:val="0"/>
          <w:iCs w:val="0"/>
          <w:caps w:val="0"/>
          <w:color w:val="0A0A0A"/>
          <w:spacing w:val="0"/>
          <w:sz w:val="28"/>
          <w:szCs w:val="28"/>
        </w:rPr>
        <w:t>Завдання дослідження:</w:t>
      </w:r>
    </w:p>
    <w:p w14:paraId="4FE49A5E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sz w:val="28"/>
          <w:szCs w:val="28"/>
        </w:rPr>
      </w:pPr>
      <w:r>
        <w:rPr>
          <w:i w:val="0"/>
          <w:iCs w:val="0"/>
          <w:caps w:val="0"/>
          <w:color w:val="0A0A0A"/>
          <w:spacing w:val="0"/>
          <w:sz w:val="28"/>
          <w:szCs w:val="28"/>
        </w:rPr>
        <w:t>Охарактеризувати природні умови Хотинської височини як середовища існування комах-фітофагів.</w:t>
      </w:r>
    </w:p>
    <w:p w14:paraId="1E3041F2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sz w:val="28"/>
          <w:szCs w:val="28"/>
        </w:rPr>
      </w:pPr>
      <w:r>
        <w:rPr>
          <w:i w:val="0"/>
          <w:iCs w:val="0"/>
          <w:caps w:val="0"/>
          <w:color w:val="0A0A0A"/>
          <w:spacing w:val="0"/>
          <w:sz w:val="28"/>
          <w:szCs w:val="28"/>
        </w:rPr>
        <w:t>Проаналізувати роль дикорослих плодових культур в екологічній системі досліджуваного регіону.</w:t>
      </w:r>
    </w:p>
    <w:p w14:paraId="27B7BE9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sz w:val="28"/>
          <w:szCs w:val="28"/>
        </w:rPr>
      </w:pPr>
      <w:r>
        <w:rPr>
          <w:i w:val="0"/>
          <w:iCs w:val="0"/>
          <w:caps w:val="0"/>
          <w:color w:val="0A0A0A"/>
          <w:spacing w:val="0"/>
          <w:sz w:val="28"/>
          <w:szCs w:val="28"/>
        </w:rPr>
        <w:t>Обґрунтувати методи моніторингу поширення та чисельності шкідників.</w:t>
      </w:r>
    </w:p>
    <w:p w14:paraId="4C03213D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sz w:val="28"/>
          <w:szCs w:val="28"/>
        </w:rPr>
      </w:pPr>
      <w:r>
        <w:rPr>
          <w:i w:val="0"/>
          <w:iCs w:val="0"/>
          <w:caps w:val="0"/>
          <w:color w:val="0A0A0A"/>
          <w:spacing w:val="0"/>
          <w:sz w:val="28"/>
          <w:szCs w:val="28"/>
        </w:rPr>
        <w:t>Простежити територіальні особливості поширення шкідників на території Хотинської височини.</w:t>
      </w:r>
    </w:p>
    <w:p w14:paraId="50A14358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i w:val="0"/>
          <w:iCs w:val="0"/>
          <w:color w:val="0A0A0A"/>
          <w:spacing w:val="0"/>
          <w:sz w:val="28"/>
          <w:szCs w:val="28"/>
        </w:rPr>
      </w:pPr>
      <w:r>
        <w:rPr>
          <w:i w:val="0"/>
          <w:iCs w:val="0"/>
          <w:caps w:val="0"/>
          <w:color w:val="0A0A0A"/>
          <w:spacing w:val="0"/>
          <w:sz w:val="28"/>
          <w:szCs w:val="28"/>
        </w:rPr>
        <w:t>Дослідити фізико-географічні чинники, що впливають на життєдіяльність основних видів шкідників.</w:t>
      </w:r>
    </w:p>
    <w:p w14:paraId="11D36526">
      <w:pPr>
        <w:pStyle w:val="5"/>
        <w:keepNext w:val="0"/>
        <w:keepLines w:val="0"/>
        <w:widowControl/>
        <w:suppressLineNumbers w:val="0"/>
        <w:spacing w:line="15" w:lineRule="atLeast"/>
        <w:jc w:val="left"/>
        <w:rPr>
          <w:sz w:val="28"/>
          <w:szCs w:val="28"/>
        </w:rPr>
      </w:pPr>
      <w:r>
        <w:rPr>
          <w:b/>
          <w:bCs/>
          <w:i w:val="0"/>
          <w:iCs w:val="0"/>
          <w:caps w:val="0"/>
          <w:color w:val="0A0A0A"/>
          <w:spacing w:val="0"/>
          <w:sz w:val="28"/>
          <w:szCs w:val="28"/>
        </w:rPr>
        <w:t>Об’єкт дослідження</w:t>
      </w:r>
      <w:r>
        <w:rPr>
          <w:i w:val="0"/>
          <w:iCs w:val="0"/>
          <w:caps w:val="0"/>
          <w:color w:val="0A0A0A"/>
          <w:spacing w:val="0"/>
          <w:sz w:val="28"/>
          <w:szCs w:val="28"/>
        </w:rPr>
        <w:t> — екосистеми та плодові насадження Хотинської височини.</w:t>
      </w:r>
    </w:p>
    <w:p w14:paraId="027E24FA">
      <w:pPr>
        <w:pStyle w:val="5"/>
        <w:keepNext w:val="0"/>
        <w:keepLines w:val="0"/>
        <w:widowControl/>
        <w:suppressLineNumbers w:val="0"/>
        <w:spacing w:line="15" w:lineRule="atLeast"/>
        <w:jc w:val="left"/>
        <w:rPr>
          <w:i w:val="0"/>
          <w:iCs w:val="0"/>
          <w:color w:val="0A0A0A"/>
          <w:spacing w:val="0"/>
          <w:sz w:val="28"/>
          <w:szCs w:val="28"/>
        </w:rPr>
      </w:pPr>
      <w:r>
        <w:rPr>
          <w:b/>
          <w:bCs/>
          <w:i w:val="0"/>
          <w:iCs w:val="0"/>
          <w:caps w:val="0"/>
          <w:color w:val="0A0A0A"/>
          <w:spacing w:val="0"/>
          <w:sz w:val="28"/>
          <w:szCs w:val="28"/>
        </w:rPr>
        <w:t>Предмет дослідження</w:t>
      </w:r>
      <w:r>
        <w:rPr>
          <w:i w:val="0"/>
          <w:iCs w:val="0"/>
          <w:caps w:val="0"/>
          <w:color w:val="0A0A0A"/>
          <w:spacing w:val="0"/>
          <w:sz w:val="28"/>
          <w:szCs w:val="28"/>
        </w:rPr>
        <w:t> — закономірності поширення та біоекологічні особливості шкідників плодово-ягідних культур у межах регіону.</w:t>
      </w:r>
    </w:p>
    <w:p w14:paraId="1E3FFD43">
      <w:pPr>
        <w:pStyle w:val="5"/>
        <w:keepNext w:val="0"/>
        <w:keepLines w:val="0"/>
        <w:widowControl/>
        <w:suppressLineNumbers w:val="0"/>
        <w:spacing w:line="15" w:lineRule="atLeast"/>
        <w:ind w:left="0"/>
        <w:jc w:val="left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Природні умови.</w:t>
      </w:r>
      <w:r>
        <w:rPr>
          <w:i w:val="0"/>
          <w:iCs w:val="0"/>
          <w:color w:val="0A0A0A"/>
          <w:spacing w:val="0"/>
          <w:sz w:val="28"/>
          <w:szCs w:val="28"/>
        </w:rPr>
        <w:t> Досліджувана територія (Хотинська височина) має унікальний рельєф межиріччя Пруту й Дністра. Родючі темно-сірі лісові ґрунти та помірний клімат сприяють розвитку садівництва, але водночас створюють ідеальні умови для розвитку понад 100 видів шкідливих комах.</w:t>
      </w:r>
    </w:p>
    <w:p w14:paraId="7FF3C852">
      <w:pPr>
        <w:pStyle w:val="5"/>
        <w:keepNext w:val="0"/>
        <w:keepLines w:val="0"/>
        <w:widowControl/>
        <w:suppressLineNumbers w:val="0"/>
        <w:spacing w:line="15" w:lineRule="atLeast"/>
        <w:ind w:left="0"/>
        <w:jc w:val="left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Роль дикорослих культур.</w:t>
      </w:r>
      <w:r>
        <w:rPr>
          <w:i w:val="0"/>
          <w:iCs w:val="0"/>
          <w:color w:val="0A0A0A"/>
          <w:spacing w:val="0"/>
          <w:sz w:val="28"/>
          <w:szCs w:val="28"/>
        </w:rPr>
        <w:t> Нами встановлено, що дикорослі яблуні, груші та терн, які масово ростуть у лісових масивах височини, є природними «депо» (резерватами) шкідників. Саме звідти вони мігрують на культурні сади, що підкреслює важливість моніторингу не лише в садах, а й на прилеглих територіях.</w:t>
      </w:r>
    </w:p>
    <w:p w14:paraId="0A913BCC">
      <w:pPr>
        <w:pStyle w:val="5"/>
        <w:keepNext w:val="0"/>
        <w:keepLines w:val="0"/>
        <w:widowControl/>
        <w:suppressLineNumbers w:val="0"/>
        <w:spacing w:line="15" w:lineRule="atLeast"/>
        <w:ind w:left="0"/>
        <w:jc w:val="left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Методика та видовий склад.</w:t>
      </w:r>
      <w:r>
        <w:rPr>
          <w:i w:val="0"/>
          <w:iCs w:val="0"/>
          <w:color w:val="0A0A0A"/>
          <w:spacing w:val="0"/>
          <w:sz w:val="28"/>
          <w:szCs w:val="28"/>
        </w:rPr>
        <w:t> Під час дослідження ми використовували методи візуального обліку та механічного струшування. Встановлено, що найбільш шкодочинними є: </w:t>
      </w: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яблунева плодожерка</w:t>
      </w:r>
      <w:r>
        <w:rPr>
          <w:i w:val="0"/>
          <w:iCs w:val="0"/>
          <w:color w:val="0A0A0A"/>
          <w:spacing w:val="0"/>
          <w:sz w:val="28"/>
          <w:szCs w:val="28"/>
        </w:rPr>
        <w:t> (пошкоджує до 19% плодів), </w:t>
      </w: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яблуневий плодовий пильщик</w:t>
      </w:r>
      <w:r>
        <w:rPr>
          <w:i w:val="0"/>
          <w:iCs w:val="0"/>
          <w:color w:val="0A0A0A"/>
          <w:spacing w:val="0"/>
          <w:sz w:val="28"/>
          <w:szCs w:val="28"/>
        </w:rPr>
        <w:t> та </w:t>
      </w: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американський білий метелик</w:t>
      </w:r>
      <w:r>
        <w:rPr>
          <w:i w:val="0"/>
          <w:iCs w:val="0"/>
          <w:color w:val="0A0A0A"/>
          <w:spacing w:val="0"/>
          <w:sz w:val="28"/>
          <w:szCs w:val="28"/>
        </w:rPr>
        <w:t>.</w:t>
      </w:r>
    </w:p>
    <w:p w14:paraId="1E39BC9D">
      <w:pPr>
        <w:pStyle w:val="5"/>
        <w:keepNext w:val="0"/>
        <w:keepLines w:val="0"/>
        <w:widowControl/>
        <w:suppressLineNumbers w:val="0"/>
        <w:spacing w:line="15" w:lineRule="atLeast"/>
        <w:ind w:left="0"/>
        <w:jc w:val="left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Ландшафтна диференціація (Головний результат).</w:t>
      </w:r>
      <w:r>
        <w:rPr>
          <w:i w:val="0"/>
          <w:iCs w:val="0"/>
          <w:color w:val="0A0A0A"/>
          <w:spacing w:val="0"/>
          <w:sz w:val="28"/>
          <w:szCs w:val="28"/>
        </w:rPr>
        <w:t> Нам вдалося виявити цікаву закономірність:</w:t>
      </w:r>
    </w:p>
    <w:p w14:paraId="35C88160">
      <w:pPr>
        <w:pStyle w:val="5"/>
        <w:keepNext w:val="0"/>
        <w:keepLines w:val="0"/>
        <w:widowControl/>
        <w:suppressLineNumbers w:val="0"/>
        <w:spacing w:line="15" w:lineRule="atLeast"/>
        <w:ind w:left="720"/>
        <w:jc w:val="left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Попелиці та кліщі</w:t>
      </w:r>
      <w:r>
        <w:rPr>
          <w:i w:val="0"/>
          <w:iCs w:val="0"/>
          <w:color w:val="0A0A0A"/>
          <w:spacing w:val="0"/>
          <w:sz w:val="28"/>
          <w:szCs w:val="28"/>
        </w:rPr>
        <w:t> найбільше концентруються на підвітряних схилах.</w:t>
      </w:r>
    </w:p>
    <w:p w14:paraId="7C09FA0E">
      <w:pPr>
        <w:pStyle w:val="5"/>
        <w:keepNext w:val="0"/>
        <w:keepLines w:val="0"/>
        <w:widowControl/>
        <w:suppressLineNumbers w:val="0"/>
        <w:spacing w:line="15" w:lineRule="atLeast"/>
        <w:ind w:left="720"/>
        <w:jc w:val="left"/>
        <w:rPr>
          <w:i w:val="0"/>
          <w:iCs w:val="0"/>
          <w:color w:val="0A0A0A"/>
          <w:spacing w:val="0"/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Листоблішки та букарки</w:t>
      </w:r>
      <w:r>
        <w:rPr>
          <w:i w:val="0"/>
          <w:iCs w:val="0"/>
          <w:color w:val="0A0A0A"/>
          <w:spacing w:val="0"/>
          <w:sz w:val="28"/>
          <w:szCs w:val="28"/>
        </w:rPr>
        <w:t> обирають вологі північні лісові зони.</w:t>
      </w:r>
    </w:p>
    <w:p w14:paraId="3F7EB5D2">
      <w:pPr>
        <w:pStyle w:val="5"/>
        <w:keepNext w:val="0"/>
        <w:keepLines w:val="0"/>
        <w:widowControl/>
        <w:suppressLineNumbers w:val="0"/>
        <w:spacing w:line="15" w:lineRule="atLeast"/>
        <w:ind w:left="720"/>
        <w:jc w:val="left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Казарка</w:t>
      </w:r>
      <w:r>
        <w:rPr>
          <w:i w:val="0"/>
          <w:iCs w:val="0"/>
          <w:color w:val="0A0A0A"/>
          <w:spacing w:val="0"/>
          <w:sz w:val="28"/>
          <w:szCs w:val="28"/>
        </w:rPr>
        <w:t> масово поширена у південній частині височини.</w:t>
      </w:r>
    </w:p>
    <w:p w14:paraId="040D6F71">
      <w:pPr>
        <w:pStyle w:val="5"/>
        <w:keepNext w:val="0"/>
        <w:keepLines w:val="0"/>
        <w:widowControl/>
        <w:suppressLineNumbers w:val="0"/>
        <w:spacing w:line="15" w:lineRule="atLeast"/>
        <w:ind w:left="0"/>
        <w:jc w:val="left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Практична цінність.</w:t>
      </w:r>
      <w:r>
        <w:rPr>
          <w:i w:val="0"/>
          <w:iCs w:val="0"/>
          <w:color w:val="0A0A0A"/>
          <w:spacing w:val="0"/>
          <w:sz w:val="28"/>
          <w:szCs w:val="28"/>
        </w:rPr>
        <w:t> Результатом роботи стала </w:t>
      </w: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картографічна модель</w:t>
      </w:r>
      <w:r>
        <w:rPr>
          <w:i w:val="0"/>
          <w:iCs w:val="0"/>
          <w:color w:val="0A0A0A"/>
          <w:spacing w:val="0"/>
          <w:sz w:val="28"/>
          <w:szCs w:val="28"/>
        </w:rPr>
        <w:t>, де систематизовано осередки шкідників. Вона дозволяє проводити «точковий» захист саду саме там, де це потрібно, замість суцільного кроплення хімікатами.</w:t>
      </w:r>
    </w:p>
    <w:p w14:paraId="3D1838B4">
      <w:pPr>
        <w:rPr>
          <w:sz w:val="28"/>
          <w:szCs w:val="28"/>
        </w:rPr>
      </w:pPr>
      <w:r>
        <w:drawing>
          <wp:inline distT="0" distB="0" distL="114300" distR="114300">
            <wp:extent cx="3416300" cy="2914015"/>
            <wp:effectExtent l="0" t="0" r="12700" b="1206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A11E0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sz w:val="28"/>
          <w:szCs w:val="28"/>
        </w:rPr>
      </w:pPr>
      <w:r>
        <w:rPr>
          <w:i w:val="0"/>
          <w:iCs w:val="0"/>
          <w:caps w:val="0"/>
          <w:color w:val="auto"/>
          <w:spacing w:val="0"/>
          <w:sz w:val="28"/>
          <w:szCs w:val="28"/>
        </w:rPr>
        <w:t>Зелена лінія: </w:t>
      </w:r>
      <w:r>
        <w:rPr>
          <w:i w:val="0"/>
          <w:iCs w:val="0"/>
          <w:caps w:val="0"/>
          <w:color w:val="0A0A0A"/>
          <w:spacing w:val="0"/>
          <w:sz w:val="28"/>
          <w:szCs w:val="28"/>
        </w:rPr>
        <w:t>Зелена яблунева попелиця (Aphis pomi Deg.)</w:t>
      </w:r>
    </w:p>
    <w:p w14:paraId="14E07746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sz w:val="28"/>
          <w:szCs w:val="28"/>
        </w:rPr>
      </w:pPr>
      <w:r>
        <w:rPr>
          <w:i w:val="0"/>
          <w:iCs w:val="0"/>
          <w:caps w:val="0"/>
          <w:color w:val="auto"/>
          <w:spacing w:val="0"/>
          <w:sz w:val="28"/>
          <w:szCs w:val="28"/>
        </w:rPr>
        <w:t>Коричнева лінія</w:t>
      </w:r>
      <w:r>
        <w:rPr>
          <w:i w:val="0"/>
          <w:iCs w:val="0"/>
          <w:caps w:val="0"/>
          <w:color w:val="D06E1C"/>
          <w:spacing w:val="0"/>
          <w:sz w:val="28"/>
          <w:szCs w:val="28"/>
        </w:rPr>
        <w:t>:</w:t>
      </w:r>
      <w:r>
        <w:rPr>
          <w:i w:val="0"/>
          <w:iCs w:val="0"/>
          <w:caps w:val="0"/>
          <w:color w:val="0A0A0A"/>
          <w:spacing w:val="0"/>
          <w:sz w:val="28"/>
          <w:szCs w:val="28"/>
        </w:rPr>
        <w:t> Бурий плодовий кліщ (Bryobia redikorzevi Reck.)</w:t>
      </w:r>
    </w:p>
    <w:p w14:paraId="3B75FFB8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sz w:val="28"/>
          <w:szCs w:val="28"/>
        </w:rPr>
      </w:pPr>
      <w:r>
        <w:rPr>
          <w:i w:val="0"/>
          <w:iCs w:val="0"/>
          <w:caps w:val="0"/>
          <w:color w:val="auto"/>
          <w:spacing w:val="0"/>
          <w:sz w:val="28"/>
          <w:szCs w:val="28"/>
        </w:rPr>
        <w:t>Червона лінія:</w:t>
      </w:r>
      <w:r>
        <w:rPr>
          <w:i w:val="0"/>
          <w:iCs w:val="0"/>
          <w:caps w:val="0"/>
          <w:color w:val="0A0A0A"/>
          <w:spacing w:val="0"/>
          <w:sz w:val="28"/>
          <w:szCs w:val="28"/>
        </w:rPr>
        <w:t> Яблуневий плодовий пильщик (Hoplocampa testudinea Klug.)</w:t>
      </w:r>
    </w:p>
    <w:p w14:paraId="27B6E5D0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sz w:val="28"/>
          <w:szCs w:val="28"/>
        </w:rPr>
      </w:pPr>
      <w:r>
        <w:rPr>
          <w:i w:val="0"/>
          <w:iCs w:val="0"/>
          <w:caps w:val="0"/>
          <w:color w:val="auto"/>
          <w:spacing w:val="0"/>
          <w:sz w:val="28"/>
          <w:szCs w:val="28"/>
        </w:rPr>
        <w:t>Салатова лінія:</w:t>
      </w:r>
      <w:r>
        <w:rPr>
          <w:i w:val="0"/>
          <w:iCs w:val="0"/>
          <w:caps w:val="0"/>
          <w:color w:val="FFFFFF"/>
          <w:spacing w:val="0"/>
          <w:sz w:val="28"/>
          <w:szCs w:val="28"/>
        </w:rPr>
        <w:t> </w:t>
      </w:r>
      <w:r>
        <w:rPr>
          <w:i w:val="0"/>
          <w:iCs w:val="0"/>
          <w:caps w:val="0"/>
          <w:color w:val="0A0A0A"/>
          <w:spacing w:val="0"/>
          <w:sz w:val="28"/>
          <w:szCs w:val="28"/>
        </w:rPr>
        <w:t>Вишневий довгоносик-трубковерт (Rhynchites auratus Scop.)</w:t>
      </w:r>
    </w:p>
    <w:p w14:paraId="7B50F41A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sz w:val="28"/>
          <w:szCs w:val="28"/>
        </w:rPr>
      </w:pPr>
      <w:r>
        <w:rPr>
          <w:i w:val="0"/>
          <w:iCs w:val="0"/>
          <w:caps w:val="0"/>
          <w:color w:val="auto"/>
          <w:spacing w:val="0"/>
          <w:sz w:val="28"/>
          <w:szCs w:val="28"/>
        </w:rPr>
        <w:t>Фіолетова лінія:</w:t>
      </w:r>
      <w:r>
        <w:rPr>
          <w:i w:val="0"/>
          <w:iCs w:val="0"/>
          <w:caps w:val="0"/>
          <w:color w:val="0A0A0A"/>
          <w:spacing w:val="0"/>
          <w:sz w:val="28"/>
          <w:szCs w:val="28"/>
        </w:rPr>
        <w:t> Яблунева плодожерка (Cydia pomonella L.)</w:t>
      </w:r>
    </w:p>
    <w:p w14:paraId="31EB957B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 w:line="15" w:lineRule="atLeast"/>
        <w:ind w:left="720" w:hanging="360"/>
        <w:jc w:val="left"/>
        <w:rPr>
          <w:sz w:val="28"/>
          <w:szCs w:val="28"/>
        </w:rPr>
      </w:pPr>
      <w:r>
        <w:rPr>
          <w:i w:val="0"/>
          <w:iCs w:val="0"/>
          <w:caps w:val="0"/>
          <w:color w:val="auto"/>
          <w:spacing w:val="0"/>
          <w:sz w:val="28"/>
          <w:szCs w:val="28"/>
        </w:rPr>
        <w:t>Рожева заливка/лінія:</w:t>
      </w:r>
      <w:r>
        <w:rPr>
          <w:i w:val="0"/>
          <w:iCs w:val="0"/>
          <w:caps w:val="0"/>
          <w:color w:val="FFCCFF"/>
          <w:spacing w:val="0"/>
          <w:sz w:val="28"/>
          <w:szCs w:val="28"/>
        </w:rPr>
        <w:t> </w:t>
      </w:r>
      <w:r>
        <w:rPr>
          <w:i w:val="0"/>
          <w:iCs w:val="0"/>
          <w:caps w:val="0"/>
          <w:color w:val="0A0A0A"/>
          <w:spacing w:val="0"/>
          <w:sz w:val="28"/>
          <w:szCs w:val="28"/>
        </w:rPr>
        <w:t>Американський білий метелик (Hyphantria cunea Drury)</w:t>
      </w:r>
    </w:p>
    <w:p w14:paraId="0B66403D">
      <w:pPr>
        <w:rPr>
          <w:sz w:val="28"/>
          <w:szCs w:val="28"/>
        </w:rPr>
      </w:pPr>
      <w:bookmarkStart w:id="0" w:name="_GoBack"/>
      <w:bookmarkEnd w:id="0"/>
    </w:p>
    <w:p w14:paraId="7873B57D">
      <w:pPr>
        <w:pStyle w:val="5"/>
        <w:keepNext w:val="0"/>
        <w:keepLines w:val="0"/>
        <w:widowControl/>
        <w:suppressLineNumbers w:val="0"/>
        <w:spacing w:line="15" w:lineRule="atLeast"/>
        <w:ind w:left="0"/>
        <w:jc w:val="left"/>
        <w:rPr>
          <w:sz w:val="28"/>
          <w:szCs w:val="28"/>
        </w:rPr>
      </w:pPr>
      <w:r>
        <w:rPr>
          <w:b/>
          <w:bCs/>
          <w:i w:val="0"/>
          <w:iCs w:val="0"/>
          <w:color w:val="0A0A0A"/>
          <w:spacing w:val="0"/>
          <w:sz w:val="28"/>
          <w:szCs w:val="28"/>
        </w:rPr>
        <w:t>Висновок.</w:t>
      </w:r>
      <w:r>
        <w:rPr>
          <w:i w:val="0"/>
          <w:iCs w:val="0"/>
          <w:color w:val="0A0A0A"/>
          <w:spacing w:val="0"/>
          <w:sz w:val="28"/>
          <w:szCs w:val="28"/>
        </w:rPr>
        <w:t> Для збереження екології Хотинської височини ми рекомендуємо поєднувати моніторинг із використанням природних ентомофагів та висаджуванням рослин-репелентів (полин, чорнобривці, часник), які природним шляхом відлякують шкідників.</w:t>
      </w:r>
    </w:p>
    <w:p w14:paraId="3CCD6BA7"/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e-Ukrai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AC8129"/>
    <w:multiLevelType w:val="multilevel"/>
    <w:tmpl w:val="ABAC812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B5DCEF88"/>
    <w:multiLevelType w:val="multilevel"/>
    <w:tmpl w:val="B5DCEF8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7454A"/>
    <w:rsid w:val="393235A5"/>
    <w:rsid w:val="48E24728"/>
    <w:rsid w:val="6E77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Times New Roman" w:hAnsi="Times New Roman" w:eastAsiaTheme="minorHAnsi" w:cstheme="minorBidi"/>
      <w:sz w:val="28"/>
      <w:szCs w:val="28"/>
      <w:lang w:val="ru-RU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Office_12.2.0.23201_F1E327BC-269C-435d-A152-05C5408002CA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2026-04-13T18:37:00Z</dcterms:created>
  <dc:creator>WPS_1774209988</dc:creator>
  <cp:lastModifiedBy>WPS_1774209988</cp:lastModifiedBy>
  <dcterms:modified xsi:type="dcterms:W3CDTF">2026-04-14T07:42:42Z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2057-12.2.0.23201</vt:lpwstr>
  </property>
  <property fmtid="{D5CDD505-2E9C-101B-9397-08002B2CF9AE}" pid="3" name="ICV">
    <vt:lpwstr>3C8A4103C36B43D897D5692F8789EE26_11</vt:lpwstr>
  </property>
</Properties>
</file>