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36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ОЦІНКА РОДЮЧОСТІ </w:t>
      </w:r>
      <w:r>
        <w:rPr>
          <w:rFonts w:ascii="Times New Roman" w:hAnsi="Times New Roman" w:cs="Times New Roman" w:eastAsia="Times New Roman"/>
          <w:color w:val="000000"/>
          <w:spacing w:val="0"/>
          <w:position w:val="0"/>
          <w:sz w:val="28"/>
          <w:shd w:fill="auto" w:val="clear"/>
        </w:rPr>
        <w:t xml:space="preserve">Ґ</w:t>
      </w:r>
      <w:r>
        <w:rPr>
          <w:rFonts w:ascii="Times New Roman" w:hAnsi="Times New Roman" w:cs="Times New Roman" w:eastAsia="Times New Roman"/>
          <w:color w:val="auto"/>
          <w:spacing w:val="0"/>
          <w:position w:val="0"/>
          <w:sz w:val="28"/>
          <w:shd w:fill="auto" w:val="clear"/>
        </w:rPr>
        <w:t xml:space="preserve">РУНТІВ СЕЛІТЕБНИХ ТЕРИТОРІЙ </w:t>
      </w:r>
    </w:p>
    <w:p>
      <w:pPr>
        <w:spacing w:before="0" w:after="0" w:line="36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НА ПРИКЛАДІ МІСТА КАМ’ЯНСЬКЕ </w:t>
      </w:r>
    </w:p>
    <w:p>
      <w:pPr>
        <w:spacing w:before="0" w:after="0" w:line="36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Біленко Анастасія Павлівна</w:t>
      </w:r>
    </w:p>
    <w:p>
      <w:pPr>
        <w:spacing w:before="0" w:after="0" w:line="360"/>
        <w:ind w:right="0" w:left="-142" w:firstLine="0"/>
        <w:jc w:val="center"/>
        <w:rPr>
          <w:rFonts w:ascii="Times New Roman" w:hAnsi="Times New Roman" w:cs="Times New Roman" w:eastAsia="Times New Roman"/>
          <w:color w:val="auto"/>
          <w:spacing w:val="-8"/>
          <w:position w:val="0"/>
          <w:sz w:val="28"/>
          <w:shd w:fill="auto" w:val="clear"/>
        </w:rPr>
      </w:pPr>
      <w:r>
        <w:rPr>
          <w:rFonts w:ascii="Times New Roman" w:hAnsi="Times New Roman" w:cs="Times New Roman" w:eastAsia="Times New Roman"/>
          <w:color w:val="auto"/>
          <w:spacing w:val="-8"/>
          <w:position w:val="0"/>
          <w:sz w:val="28"/>
          <w:shd w:fill="auto" w:val="clear"/>
        </w:rPr>
        <w:t xml:space="preserve">Комунальний позашкільний заклад </w:t>
      </w:r>
      <w:r>
        <w:rPr>
          <w:rFonts w:ascii="Times New Roman" w:hAnsi="Times New Roman" w:cs="Times New Roman" w:eastAsia="Times New Roman"/>
          <w:color w:val="auto"/>
          <w:spacing w:val="-8"/>
          <w:position w:val="0"/>
          <w:sz w:val="28"/>
          <w:shd w:fill="auto" w:val="clear"/>
        </w:rPr>
        <w:t xml:space="preserve">«</w:t>
      </w:r>
      <w:r>
        <w:rPr>
          <w:rFonts w:ascii="Times New Roman" w:hAnsi="Times New Roman" w:cs="Times New Roman" w:eastAsia="Times New Roman"/>
          <w:color w:val="auto"/>
          <w:spacing w:val="-8"/>
          <w:position w:val="0"/>
          <w:sz w:val="28"/>
          <w:shd w:fill="auto" w:val="clear"/>
        </w:rPr>
        <w:t xml:space="preserve">Дитячий екологічний центр</w:t>
      </w:r>
      <w:r>
        <w:rPr>
          <w:rFonts w:ascii="Times New Roman" w:hAnsi="Times New Roman" w:cs="Times New Roman" w:eastAsia="Times New Roman"/>
          <w:color w:val="auto"/>
          <w:spacing w:val="-8"/>
          <w:position w:val="0"/>
          <w:sz w:val="28"/>
          <w:shd w:fill="auto" w:val="clear"/>
        </w:rPr>
        <w:t xml:space="preserve">» </w:t>
      </w:r>
      <w:r>
        <w:rPr>
          <w:rFonts w:ascii="Times New Roman" w:hAnsi="Times New Roman" w:cs="Times New Roman" w:eastAsia="Times New Roman"/>
          <w:color w:val="auto"/>
          <w:spacing w:val="-8"/>
          <w:position w:val="0"/>
          <w:sz w:val="28"/>
          <w:shd w:fill="auto" w:val="clear"/>
        </w:rPr>
        <w:t xml:space="preserve">Кам’янської міської ради</w:t>
      </w:r>
    </w:p>
    <w:p>
      <w:pPr>
        <w:spacing w:before="0" w:after="0" w:line="36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КЗ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Науковий ліцей імені Анатолія Лигуна</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Кам’янської міської ради, 10 клас</w:t>
      </w:r>
    </w:p>
    <w:p>
      <w:pPr>
        <w:spacing w:before="0" w:after="0" w:line="36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Комунальний позашкільний навчальний заклад</w:t>
      </w:r>
    </w:p>
    <w:p>
      <w:pPr>
        <w:spacing w:before="0" w:after="0" w:line="36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Мала академія наук учнівської молоді</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Дніпропетровської обласної ради</w:t>
      </w:r>
      <w:r>
        <w:rPr>
          <w:rFonts w:ascii="Times New Roman" w:hAnsi="Times New Roman" w:cs="Times New Roman" w:eastAsia="Times New Roman"/>
          <w:color w:val="auto"/>
          <w:spacing w:val="0"/>
          <w:position w:val="0"/>
          <w:sz w:val="28"/>
          <w:shd w:fill="auto" w:val="clear"/>
        </w:rPr>
        <w:t xml:space="preserve">»,</w:t>
      </w:r>
    </w:p>
    <w:p>
      <w:pPr>
        <w:spacing w:before="0" w:after="0" w:line="36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м. Кам’янське</w:t>
      </w:r>
    </w:p>
    <w:p>
      <w:pPr>
        <w:spacing w:before="0" w:after="0" w:line="360"/>
        <w:ind w:right="-1"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Непошивайленко Наталія Олександрівна </w:t>
      </w:r>
    </w:p>
    <w:p>
      <w:pPr>
        <w:spacing w:before="0" w:after="0" w:line="360"/>
        <w:ind w:right="-1"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керівник гуртка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Юні екологи</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комунального позашкільного закладу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Дитячий екологічний центр</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Кам’янської міської ради, к.т.н., доцент, доцент кафедри екології та охорони навколишнього середовища Дніпровського державного технічного університету</w:t>
      </w:r>
    </w:p>
    <w:p>
      <w:pPr>
        <w:spacing w:before="0" w:after="0" w:line="360"/>
        <w:ind w:right="0" w:left="0" w:firstLine="567"/>
        <w:jc w:val="both"/>
        <w:rPr>
          <w:rFonts w:ascii="Times New Roman" w:hAnsi="Times New Roman" w:cs="Times New Roman" w:eastAsia="Times New Roman"/>
          <w:color w:val="auto"/>
          <w:spacing w:val="0"/>
          <w:position w:val="0"/>
          <w:sz w:val="28"/>
          <w:shd w:fill="FFFFFF" w:val="clear"/>
        </w:rPr>
      </w:pPr>
      <w:r>
        <w:rPr>
          <w:rFonts w:ascii="Times New Roman" w:hAnsi="Times New Roman" w:cs="Times New Roman" w:eastAsia="Times New Roman"/>
          <w:i/>
          <w:color w:val="auto"/>
          <w:spacing w:val="0"/>
          <w:position w:val="0"/>
          <w:sz w:val="28"/>
          <w:shd w:fill="FFFFFF" w:val="clear"/>
        </w:rPr>
        <w:t xml:space="preserve">Мета дослідження</w:t>
      </w:r>
      <w:r>
        <w:rPr>
          <w:rFonts w:ascii="Times New Roman" w:hAnsi="Times New Roman" w:cs="Times New Roman" w:eastAsia="Times New Roman"/>
          <w:color w:val="auto"/>
          <w:spacing w:val="0"/>
          <w:position w:val="0"/>
          <w:sz w:val="28"/>
          <w:shd w:fill="FFFFFF" w:val="clear"/>
        </w:rPr>
        <w:t xml:space="preserve"> полягала в оцінці родючості </w:t>
      </w:r>
      <w:r>
        <w:rPr>
          <w:rFonts w:ascii="Times New Roman" w:hAnsi="Times New Roman" w:cs="Times New Roman" w:eastAsia="Times New Roman"/>
          <w:color w:val="auto"/>
          <w:spacing w:val="0"/>
          <w:position w:val="0"/>
          <w:sz w:val="28"/>
          <w:shd w:fill="auto" w:val="clear"/>
        </w:rPr>
        <w:t xml:space="preserve">ґрунтів в окремих ділянках промислового міста Кам’янське за допомогою ростового тесту.</w:t>
      </w:r>
    </w:p>
    <w:p>
      <w:pPr>
        <w:spacing w:before="0" w:after="0" w:line="360"/>
        <w:ind w:right="0" w:left="0" w:firstLine="567"/>
        <w:jc w:val="both"/>
        <w:rPr>
          <w:rFonts w:ascii="Times New Roman" w:hAnsi="Times New Roman" w:cs="Times New Roman" w:eastAsia="Times New Roman"/>
          <w:color w:val="auto"/>
          <w:spacing w:val="0"/>
          <w:position w:val="0"/>
          <w:sz w:val="28"/>
          <w:shd w:fill="FFFFFF" w:val="clear"/>
        </w:rPr>
      </w:pPr>
      <w:r>
        <w:rPr>
          <w:rFonts w:ascii="Times New Roman" w:hAnsi="Times New Roman" w:cs="Times New Roman" w:eastAsia="Times New Roman"/>
          <w:i/>
          <w:color w:val="auto"/>
          <w:spacing w:val="0"/>
          <w:position w:val="0"/>
          <w:sz w:val="28"/>
          <w:shd w:fill="FFFFFF" w:val="clear"/>
        </w:rPr>
        <w:t xml:space="preserve">Завдання дослідження </w:t>
      </w:r>
      <w:r>
        <w:rPr>
          <w:rFonts w:ascii="Times New Roman" w:hAnsi="Times New Roman" w:cs="Times New Roman" w:eastAsia="Times New Roman"/>
          <w:color w:val="auto"/>
          <w:spacing w:val="0"/>
          <w:position w:val="0"/>
          <w:sz w:val="28"/>
          <w:shd w:fill="FFFFFF" w:val="clear"/>
        </w:rPr>
        <w:t xml:space="preserve">–</w:t>
      </w:r>
      <w:r>
        <w:rPr>
          <w:rFonts w:ascii="Times New Roman" w:hAnsi="Times New Roman" w:cs="Times New Roman" w:eastAsia="Times New Roman"/>
          <w:color w:val="auto"/>
          <w:spacing w:val="0"/>
          <w:position w:val="0"/>
          <w:sz w:val="28"/>
          <w:shd w:fill="FFFFFF" w:val="clear"/>
        </w:rPr>
        <w:t xml:space="preserve"> </w:t>
      </w:r>
      <w:r>
        <w:rPr>
          <w:rFonts w:ascii="Times New Roman" w:hAnsi="Times New Roman" w:cs="Times New Roman" w:eastAsia="Times New Roman"/>
          <w:color w:val="auto"/>
          <w:spacing w:val="0"/>
          <w:position w:val="0"/>
          <w:sz w:val="28"/>
          <w:shd w:fill="FFFFFF" w:val="clear"/>
        </w:rPr>
        <w:t xml:space="preserve">визначити рівень родючості </w:t>
      </w:r>
      <w:r>
        <w:rPr>
          <w:rFonts w:ascii="Times New Roman" w:hAnsi="Times New Roman" w:cs="Times New Roman" w:eastAsia="Times New Roman"/>
          <w:color w:val="auto"/>
          <w:spacing w:val="0"/>
          <w:position w:val="0"/>
          <w:sz w:val="28"/>
          <w:shd w:fill="FFFFFF" w:val="clear"/>
        </w:rPr>
        <w:t xml:space="preserve">ґрунтів, за допомогою ростового тесту, оцінити фізичний стан дослідних ґрунтів, в тому числі мінеральний склад ґрунту та його кислотність.</w:t>
      </w:r>
    </w:p>
    <w:p>
      <w:pPr>
        <w:spacing w:before="0" w:after="0" w:line="36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Задачі дослідження</w:t>
      </w:r>
      <w:r>
        <w:rPr>
          <w:rFonts w:ascii="Times New Roman" w:hAnsi="Times New Roman" w:cs="Times New Roman" w:eastAsia="Times New Roman"/>
          <w:color w:val="auto"/>
          <w:spacing w:val="0"/>
          <w:position w:val="0"/>
          <w:sz w:val="28"/>
          <w:shd w:fill="auto" w:val="clear"/>
        </w:rPr>
        <w:t xml:space="preserve">: обрати ділянки для дослідження, відібрати проби </w:t>
      </w:r>
      <w:r>
        <w:rPr>
          <w:rFonts w:ascii="Times New Roman" w:hAnsi="Times New Roman" w:cs="Times New Roman" w:eastAsia="Times New Roman"/>
          <w:color w:val="auto"/>
          <w:spacing w:val="0"/>
          <w:position w:val="0"/>
          <w:sz w:val="28"/>
          <w:shd w:fill="auto" w:val="clear"/>
        </w:rPr>
        <w:t xml:space="preserve">ґрунту на відповідних глибинах, підготувати проби ґрунту для досліджень; провести оцінку родючості ґрунтів за допомогою ростового тесту, що включає визначення кількості сходів та енергію проростання; оцінити фізичний стан ґрунту, у т. ч. мінеральний склад та кислотність ґрунту; надати рекомендації з відновлення якості ґрунтів урбанізованих територій</w:t>
      </w:r>
    </w:p>
    <w:p>
      <w:pPr>
        <w:spacing w:before="0" w:after="0" w:line="360"/>
        <w:ind w:right="0" w:left="0" w:firstLine="567"/>
        <w:jc w:val="both"/>
        <w:rPr>
          <w:rFonts w:ascii="Times New Roman" w:hAnsi="Times New Roman" w:cs="Times New Roman" w:eastAsia="Times New Roman"/>
          <w:i/>
          <w:color w:val="auto"/>
          <w:spacing w:val="-4"/>
          <w:position w:val="0"/>
          <w:sz w:val="28"/>
          <w:shd w:fill="auto" w:val="clear"/>
        </w:rPr>
      </w:pPr>
      <w:r>
        <w:rPr>
          <w:rFonts w:ascii="Times New Roman" w:hAnsi="Times New Roman" w:cs="Times New Roman" w:eastAsia="Times New Roman"/>
          <w:i/>
          <w:color w:val="auto"/>
          <w:spacing w:val="-4"/>
          <w:position w:val="0"/>
          <w:sz w:val="28"/>
          <w:shd w:fill="auto" w:val="clear"/>
        </w:rPr>
        <w:t xml:space="preserve">Предмет дослідження </w:t>
      </w:r>
      <w:r>
        <w:rPr>
          <w:rFonts w:ascii="Times New Roman" w:hAnsi="Times New Roman" w:cs="Times New Roman" w:eastAsia="Times New Roman"/>
          <w:color w:val="auto"/>
          <w:spacing w:val="-4"/>
          <w:position w:val="0"/>
          <w:sz w:val="28"/>
          <w:shd w:fill="auto" w:val="clear"/>
        </w:rPr>
        <w:t xml:space="preserve"> </w:t>
      </w:r>
      <w:r>
        <w:rPr>
          <w:rFonts w:ascii="Times New Roman" w:hAnsi="Times New Roman" w:cs="Times New Roman" w:eastAsia="Times New Roman"/>
          <w:color w:val="auto"/>
          <w:spacing w:val="-4"/>
          <w:position w:val="0"/>
          <w:sz w:val="28"/>
          <w:shd w:fill="auto" w:val="clear"/>
        </w:rPr>
        <w:t xml:space="preserve">–</w:t>
      </w:r>
      <w:r>
        <w:rPr>
          <w:rFonts w:ascii="Times New Roman" w:hAnsi="Times New Roman" w:cs="Times New Roman" w:eastAsia="Times New Roman"/>
          <w:color w:val="auto"/>
          <w:spacing w:val="-4"/>
          <w:position w:val="0"/>
          <w:sz w:val="28"/>
          <w:shd w:fill="auto" w:val="clear"/>
        </w:rPr>
        <w:t xml:space="preserve">  </w:t>
      </w:r>
      <w:r>
        <w:rPr>
          <w:rFonts w:ascii="Times New Roman" w:hAnsi="Times New Roman" w:cs="Times New Roman" w:eastAsia="Times New Roman"/>
          <w:color w:val="auto"/>
          <w:spacing w:val="-4"/>
          <w:position w:val="0"/>
          <w:sz w:val="28"/>
          <w:shd w:fill="auto" w:val="clear"/>
        </w:rPr>
        <w:t xml:space="preserve">показники, що характеризують якісну оцінку </w:t>
      </w:r>
      <w:r>
        <w:rPr>
          <w:rFonts w:ascii="Times New Roman" w:hAnsi="Times New Roman" w:cs="Times New Roman" w:eastAsia="Times New Roman"/>
          <w:color w:val="auto"/>
          <w:spacing w:val="0"/>
          <w:position w:val="0"/>
          <w:sz w:val="28"/>
          <w:shd w:fill="auto" w:val="clear"/>
        </w:rPr>
        <w:t xml:space="preserve">ґрунту на прикладі окремих ділянок у м. Кам’янське. </w:t>
      </w:r>
    </w:p>
    <w:p>
      <w:pPr>
        <w:spacing w:before="0" w:after="0" w:line="36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Об’єкт дослідження</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процес якісної оцінки </w:t>
      </w:r>
      <w:r>
        <w:rPr>
          <w:rFonts w:ascii="Times New Roman" w:hAnsi="Times New Roman" w:cs="Times New Roman" w:eastAsia="Times New Roman"/>
          <w:color w:val="auto"/>
          <w:spacing w:val="0"/>
          <w:position w:val="0"/>
          <w:sz w:val="28"/>
          <w:shd w:fill="auto" w:val="clear"/>
        </w:rPr>
        <w:t xml:space="preserve">ґрунтів населеного пункту. </w:t>
      </w:r>
    </w:p>
    <w:p>
      <w:pPr>
        <w:spacing w:before="0" w:after="0" w:line="360"/>
        <w:ind w:right="0" w:left="0" w:firstLine="567"/>
        <w:jc w:val="both"/>
        <w:rPr>
          <w:rFonts w:ascii="Times New Roman" w:hAnsi="Times New Roman" w:cs="Times New Roman" w:eastAsia="Times New Roman"/>
          <w:i/>
          <w:color w:val="auto"/>
          <w:spacing w:val="0"/>
          <w:position w:val="0"/>
          <w:sz w:val="28"/>
          <w:shd w:fill="auto" w:val="clear"/>
        </w:rPr>
      </w:pPr>
      <w:r>
        <w:rPr>
          <w:rFonts w:ascii="Times New Roman" w:hAnsi="Times New Roman" w:cs="Times New Roman" w:eastAsia="Times New Roman"/>
          <w:i/>
          <w:color w:val="auto"/>
          <w:spacing w:val="0"/>
          <w:position w:val="0"/>
          <w:sz w:val="28"/>
          <w:shd w:fill="auto" w:val="clear"/>
        </w:rPr>
        <w:t xml:space="preserve">Методи дослідження:</w:t>
      </w:r>
    </w:p>
    <w:p>
      <w:pPr>
        <w:numPr>
          <w:ilvl w:val="0"/>
          <w:numId w:val="6"/>
        </w:numPr>
        <w:spacing w:before="0" w:after="0" w:line="360"/>
        <w:ind w:right="0" w:left="284" w:hanging="284"/>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біологічні для оцінки забруднення </w:t>
      </w:r>
      <w:r>
        <w:rPr>
          <w:rFonts w:ascii="Times New Roman" w:hAnsi="Times New Roman" w:cs="Times New Roman" w:eastAsia="Times New Roman"/>
          <w:color w:val="auto"/>
          <w:spacing w:val="0"/>
          <w:position w:val="0"/>
          <w:sz w:val="28"/>
          <w:shd w:fill="auto" w:val="clear"/>
        </w:rPr>
        <w:t xml:space="preserve">ґрунтів за допомогою ростового тесту, що включає визначення кількості сходів та енергію проростання;</w:t>
      </w:r>
    </w:p>
    <w:p>
      <w:pPr>
        <w:numPr>
          <w:ilvl w:val="0"/>
          <w:numId w:val="6"/>
        </w:numPr>
        <w:spacing w:before="0" w:after="0" w:line="360"/>
        <w:ind w:right="0" w:left="284" w:hanging="284"/>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фізичні для визначення мінерального склад та кислотності </w:t>
      </w:r>
      <w:r>
        <w:rPr>
          <w:rFonts w:ascii="Times New Roman" w:hAnsi="Times New Roman" w:cs="Times New Roman" w:eastAsia="Times New Roman"/>
          <w:color w:val="auto"/>
          <w:spacing w:val="0"/>
          <w:position w:val="0"/>
          <w:sz w:val="28"/>
          <w:shd w:fill="auto" w:val="clear"/>
        </w:rPr>
        <w:t xml:space="preserve">ґрунту;</w:t>
      </w:r>
    </w:p>
    <w:p>
      <w:pPr>
        <w:numPr>
          <w:ilvl w:val="0"/>
          <w:numId w:val="6"/>
        </w:numPr>
        <w:spacing w:before="0" w:after="0" w:line="360"/>
        <w:ind w:right="0" w:left="284" w:hanging="284"/>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порівняння та узагальнення оцінки отриманих експериментальних даних,  побудови діаграм, що відображають динаміку визначених параметрів та відмінності показників.</w:t>
      </w:r>
    </w:p>
    <w:p>
      <w:pPr>
        <w:spacing w:before="0" w:after="0" w:line="36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Обрано 7 ділянок для дослідження якості </w:t>
      </w:r>
      <w:r>
        <w:rPr>
          <w:rFonts w:ascii="Times New Roman" w:hAnsi="Times New Roman" w:cs="Times New Roman" w:eastAsia="Times New Roman"/>
          <w:color w:val="auto"/>
          <w:spacing w:val="0"/>
          <w:position w:val="0"/>
          <w:sz w:val="28"/>
          <w:shd w:fill="auto" w:val="clear"/>
        </w:rPr>
        <w:t xml:space="preserve">ґрунту в межах промислового міста Кам’янське. Вибір ділянок обґрунтований відповідним типом і потужністю антропогенного впливу. Проби ґрунту відібрано з відповідних ділянок на глибинах 0-15 та 15-30 см, проведена їх підготовка у трьох повтореннях. Всього підготовлено до аналізу 42 проби ґрунту, на які висіяно рослини-індикатори та за якими велося спостереження впродовж 20 діб. Наявність позитивного внеску органічного збагачення ґрунту підтверджує зниження швидкості розвитку розмірів рослин, що вирощувались на доглянутих сільськогосподарських землях (Розсадник, Поле, Карнаухівка), де переважно використовуються мінеральні добрива. Мінеральний склад дає результат, що 64% проб це супіщані ґрунти, 21% це глинистий пісок, 15% це піщано-муловатий суглинок. Ґрунти більшості ділянок (80% проб грунту) мали нейтральне середовище (pH=7), у 20% проб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слаба кислотність. Це підтверджує наявність природного підживлення </w:t>
      </w:r>
      <w:r>
        <w:rPr>
          <w:rFonts w:ascii="Times New Roman" w:hAnsi="Times New Roman" w:cs="Times New Roman" w:eastAsia="Times New Roman"/>
          <w:color w:val="auto"/>
          <w:spacing w:val="0"/>
          <w:position w:val="0"/>
          <w:sz w:val="28"/>
          <w:shd w:fill="auto" w:val="clear"/>
        </w:rPr>
        <w:t xml:space="preserve">ґрунтів за рахунок перегнивання опаду. Кислі ґрунти мають негативний вплив на мікроорганізми, також припиняють процес переробки органічних речовин в гумус. Слід відзначити, що техногенне забруднення ґрунтів не сповільняє розвиток надземної частини рослин та не впливає на розміри кореневої системи, за умови достатньої кількості гумусу та мінеральних речовин у ґрунті за рахунок природного збагачення ґрунту органічними рештками та перепрілим опадом. Для відновлення якості ґрунтів урбанізованих територій, рекомендовано щільно засаджувати території деревними та трав’янистими рослинами. Повільний розвиток деревних рослин має бути компенсований більш потужним розвитком багаторічників та декоративних трав. Природне відновлення ґрунту в такій колаборації рослин забезпечить достатню кількість природного опаду (за умов відсутності покосу трав та збору опалого листя), що сприятиме зволоженню та покращенню якості ґрунтів, що є вкрай  необхідним в забруднених умовах міських територій. Для озеленення міських територій слід використовувати рослини, які водночас мають бути високодекоративними, стійкими до забруднення атмосферного повітря, посухостійкими. Щільні змішані посадки зможуть самостійно забезпечити собі якісні характеристики ґрунту за умов відповідної агротехніки догляду за ними.</w:t>
      </w:r>
    </w:p>
  </w:body>
</w:document>
</file>

<file path=word/numbering.xml><?xml version="1.0" encoding="utf-8"?>
<w:numbering xmlns:w="http://schemas.openxmlformats.org/wordprocessingml/2006/main">
  <w:abstractNum w:abstractNumId="0">
    <w:lvl w:ilvl="0">
      <w:start w:val="1"/>
      <w:numFmt w:val="bullet"/>
      <w:lvlText w:val="•"/>
    </w:lvl>
  </w:abstractNum>
  <w:num w:numId="6">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