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6ABC" w:rsidRPr="0083671A" w:rsidRDefault="00DA6ABC" w:rsidP="003C4436">
      <w:pPr>
        <w:spacing w:line="360" w:lineRule="auto"/>
        <w:jc w:val="center"/>
        <w:rPr>
          <w:rFonts w:ascii="Times New Roman" w:hAnsi="Times New Roman"/>
          <w:b/>
          <w:noProof/>
          <w:sz w:val="28"/>
          <w:szCs w:val="28"/>
        </w:rPr>
      </w:pPr>
      <w:r w:rsidRPr="0083671A">
        <w:rPr>
          <w:rFonts w:ascii="Times New Roman" w:hAnsi="Times New Roman"/>
          <w:b/>
          <w:noProof/>
          <w:sz w:val="28"/>
          <w:szCs w:val="28"/>
        </w:rPr>
        <w:t>Тези</w:t>
      </w:r>
    </w:p>
    <w:p w:rsidR="00DA6ABC" w:rsidRPr="0083671A" w:rsidRDefault="00DA6ABC" w:rsidP="003C4436">
      <w:pPr>
        <w:spacing w:line="360" w:lineRule="auto"/>
        <w:jc w:val="center"/>
        <w:rPr>
          <w:rFonts w:ascii="Times New Roman" w:hAnsi="Times New Roman"/>
          <w:noProof/>
          <w:sz w:val="28"/>
          <w:szCs w:val="28"/>
        </w:rPr>
      </w:pPr>
      <w:r w:rsidRPr="0083671A">
        <w:rPr>
          <w:rFonts w:ascii="Times New Roman" w:hAnsi="Times New Roman"/>
          <w:noProof/>
          <w:sz w:val="28"/>
          <w:szCs w:val="28"/>
        </w:rPr>
        <w:t>дослідницької роботи</w:t>
      </w:r>
    </w:p>
    <w:p w:rsidR="00DA6ABC" w:rsidRPr="0083671A" w:rsidRDefault="00DA6ABC" w:rsidP="003C4436">
      <w:pPr>
        <w:spacing w:line="360" w:lineRule="auto"/>
        <w:jc w:val="center"/>
        <w:rPr>
          <w:rFonts w:ascii="Times New Roman" w:hAnsi="Times New Roman"/>
          <w:noProof/>
          <w:sz w:val="28"/>
          <w:szCs w:val="28"/>
        </w:rPr>
      </w:pPr>
      <w:r w:rsidRPr="0083671A">
        <w:rPr>
          <w:rFonts w:ascii="Times New Roman" w:hAnsi="Times New Roman"/>
          <w:noProof/>
          <w:sz w:val="28"/>
          <w:szCs w:val="28"/>
        </w:rPr>
        <w:t>уч</w:t>
      </w:r>
      <w:r>
        <w:rPr>
          <w:rFonts w:ascii="Times New Roman" w:hAnsi="Times New Roman"/>
          <w:noProof/>
          <w:sz w:val="28"/>
          <w:szCs w:val="28"/>
        </w:rPr>
        <w:t>ениці 8 класу Кам’янецької філії Ліцею Кам’янецької селищної ради Кропивницького району Кіровлградської області</w:t>
      </w:r>
      <w:r w:rsidRPr="0083671A">
        <w:rPr>
          <w:rFonts w:ascii="Times New Roman" w:hAnsi="Times New Roman"/>
          <w:noProof/>
          <w:sz w:val="28"/>
          <w:szCs w:val="28"/>
        </w:rPr>
        <w:t>,</w:t>
      </w:r>
    </w:p>
    <w:p w:rsidR="00DA6ABC" w:rsidRPr="0083671A" w:rsidRDefault="00DA6ABC" w:rsidP="003C4436">
      <w:pPr>
        <w:spacing w:line="360" w:lineRule="auto"/>
        <w:jc w:val="center"/>
        <w:rPr>
          <w:rFonts w:ascii="Times New Roman" w:hAnsi="Times New Roman"/>
          <w:b/>
          <w:noProof/>
          <w:sz w:val="28"/>
          <w:szCs w:val="28"/>
        </w:rPr>
      </w:pPr>
      <w:r>
        <w:rPr>
          <w:rFonts w:ascii="Times New Roman" w:hAnsi="Times New Roman"/>
          <w:b/>
          <w:noProof/>
          <w:sz w:val="28"/>
          <w:szCs w:val="28"/>
        </w:rPr>
        <w:t>Орленко Єлизавети Андріївни</w:t>
      </w:r>
    </w:p>
    <w:p w:rsidR="00DA6ABC" w:rsidRPr="00DA6ABC" w:rsidRDefault="00DA6ABC" w:rsidP="00DA6ABC">
      <w:pPr>
        <w:spacing w:after="0" w:line="240" w:lineRule="auto"/>
        <w:rPr>
          <w:rFonts w:ascii="Times New Roman" w:eastAsia="Times New Roman" w:hAnsi="Times New Roman"/>
          <w:noProof/>
          <w:sz w:val="28"/>
          <w:szCs w:val="28"/>
          <w:lang w:val="ru-RU" w:eastAsia="ru-RU"/>
        </w:rPr>
      </w:pPr>
      <w:bookmarkStart w:id="0" w:name="_GoBack"/>
      <w:bookmarkEnd w:id="0"/>
    </w:p>
    <w:p w:rsidR="00DA6ABC" w:rsidRPr="00DA6ABC" w:rsidRDefault="00DA6ABC" w:rsidP="00DA6ABC">
      <w:pPr>
        <w:spacing w:after="450" w:line="480" w:lineRule="atLeast"/>
        <w:jc w:val="center"/>
        <w:textAlignment w:val="baseline"/>
        <w:outlineLvl w:val="0"/>
        <w:rPr>
          <w:rFonts w:ascii="Times New Roman" w:eastAsiaTheme="minorHAnsi" w:hAnsi="Times New Roman"/>
          <w:b/>
          <w:bCs/>
          <w:noProof/>
          <w:kern w:val="36"/>
          <w:sz w:val="36"/>
          <w:szCs w:val="36"/>
        </w:rPr>
      </w:pPr>
      <w:r w:rsidRPr="00DA6ABC">
        <w:rPr>
          <w:rFonts w:ascii="Times New Roman" w:eastAsiaTheme="minorHAnsi" w:hAnsi="Times New Roman"/>
          <w:b/>
          <w:noProof/>
          <w:sz w:val="36"/>
          <w:szCs w:val="36"/>
        </w:rPr>
        <w:t>«</w:t>
      </w:r>
      <w:r w:rsidRPr="00DA6ABC">
        <w:rPr>
          <w:rFonts w:ascii="Times New Roman" w:eastAsiaTheme="minorHAnsi" w:hAnsi="Times New Roman"/>
          <w:b/>
          <w:bCs/>
          <w:noProof/>
          <w:kern w:val="36"/>
          <w:sz w:val="36"/>
          <w:szCs w:val="36"/>
        </w:rPr>
        <w:t>Злети і падіння отамана Никифора Григор’єва</w:t>
      </w:r>
      <w:r w:rsidRPr="00DA6ABC">
        <w:rPr>
          <w:rFonts w:ascii="Times New Roman" w:eastAsiaTheme="minorHAnsi" w:hAnsi="Times New Roman"/>
          <w:b/>
          <w:noProof/>
          <w:sz w:val="36"/>
          <w:szCs w:val="36"/>
        </w:rPr>
        <w:t>»</w:t>
      </w:r>
    </w:p>
    <w:p w:rsidR="00DA6ABC" w:rsidRPr="0083671A" w:rsidRDefault="00DA6ABC" w:rsidP="00DA6ABC">
      <w:pPr>
        <w:spacing w:line="360" w:lineRule="auto"/>
        <w:rPr>
          <w:rFonts w:ascii="Times New Roman" w:hAnsi="Times New Roman"/>
          <w:bCs/>
          <w:noProof/>
          <w:sz w:val="28"/>
          <w:szCs w:val="28"/>
          <w:lang w:val="ru-RU"/>
        </w:rPr>
      </w:pPr>
      <w:r w:rsidRPr="0083671A">
        <w:rPr>
          <w:rFonts w:ascii="Times New Roman" w:hAnsi="Times New Roman"/>
          <w:b/>
          <w:bCs/>
          <w:noProof/>
          <w:sz w:val="28"/>
          <w:szCs w:val="28"/>
        </w:rPr>
        <w:t xml:space="preserve">Телефон:                   </w:t>
      </w:r>
      <w:r>
        <w:rPr>
          <w:rFonts w:ascii="Times New Roman" w:hAnsi="Times New Roman"/>
          <w:bCs/>
          <w:noProof/>
          <w:sz w:val="28"/>
          <w:szCs w:val="28"/>
        </w:rPr>
        <w:t xml:space="preserve"> +38 (066) 45-58-858; +38 (098) 95-88-588</w:t>
      </w:r>
    </w:p>
    <w:p w:rsidR="00DA6ABC" w:rsidRPr="00DA6ABC" w:rsidRDefault="00DA6ABC" w:rsidP="00DA6ABC">
      <w:pPr>
        <w:spacing w:line="360" w:lineRule="auto"/>
        <w:rPr>
          <w:rFonts w:ascii="Times New Roman" w:hAnsi="Times New Roman"/>
          <w:bCs/>
          <w:noProof/>
          <w:sz w:val="28"/>
          <w:szCs w:val="28"/>
          <w:lang w:val="ru-RU"/>
        </w:rPr>
      </w:pPr>
      <w:r w:rsidRPr="0083671A">
        <w:rPr>
          <w:rFonts w:ascii="Times New Roman" w:hAnsi="Times New Roman"/>
          <w:b/>
          <w:bCs/>
          <w:noProof/>
          <w:sz w:val="28"/>
          <w:szCs w:val="28"/>
        </w:rPr>
        <w:t>Електронна адреса</w:t>
      </w:r>
      <w:r w:rsidRPr="0083671A">
        <w:rPr>
          <w:rFonts w:ascii="Times New Roman" w:hAnsi="Times New Roman"/>
          <w:bCs/>
          <w:noProof/>
          <w:sz w:val="28"/>
          <w:szCs w:val="28"/>
        </w:rPr>
        <w:t xml:space="preserve"> - </w:t>
      </w:r>
      <w:hyperlink r:id="rId5" w:history="1">
        <w:r w:rsidRPr="00326696">
          <w:rPr>
            <w:rStyle w:val="a3"/>
            <w:rFonts w:ascii="Arial" w:hAnsi="Arial" w:cs="Arial"/>
            <w:noProof/>
            <w:sz w:val="18"/>
            <w:szCs w:val="18"/>
          </w:rPr>
          <w:t>s.s.l.2088@ukr.net</w:t>
        </w:r>
      </w:hyperlink>
      <w:r>
        <w:rPr>
          <w:rFonts w:ascii="Arial" w:hAnsi="Arial" w:cs="Arial"/>
          <w:noProof/>
          <w:color w:val="343840"/>
          <w:sz w:val="18"/>
          <w:szCs w:val="18"/>
        </w:rPr>
        <w:t xml:space="preserve"> </w:t>
      </w:r>
    </w:p>
    <w:p w:rsidR="00DA6ABC" w:rsidRPr="0083671A" w:rsidRDefault="00DA6ABC" w:rsidP="00DA6ABC">
      <w:pPr>
        <w:spacing w:line="360" w:lineRule="auto"/>
        <w:rPr>
          <w:rFonts w:ascii="Times New Roman" w:hAnsi="Times New Roman"/>
          <w:bCs/>
          <w:noProof/>
          <w:sz w:val="28"/>
          <w:szCs w:val="28"/>
        </w:rPr>
      </w:pPr>
      <w:r w:rsidRPr="0083671A">
        <w:rPr>
          <w:rFonts w:ascii="Times New Roman" w:hAnsi="Times New Roman"/>
          <w:b/>
          <w:bCs/>
          <w:noProof/>
          <w:sz w:val="28"/>
          <w:szCs w:val="28"/>
        </w:rPr>
        <w:t>Місце проживання</w:t>
      </w:r>
      <w:r>
        <w:rPr>
          <w:rFonts w:ascii="Times New Roman" w:hAnsi="Times New Roman"/>
          <w:bCs/>
          <w:noProof/>
          <w:sz w:val="28"/>
          <w:szCs w:val="28"/>
        </w:rPr>
        <w:t>: Кіровоградська область, Кропивницький район, селище</w:t>
      </w:r>
      <w:r w:rsidRPr="0083671A">
        <w:rPr>
          <w:rFonts w:ascii="Times New Roman" w:hAnsi="Times New Roman"/>
          <w:bCs/>
          <w:noProof/>
          <w:sz w:val="28"/>
          <w:szCs w:val="28"/>
        </w:rPr>
        <w:t xml:space="preserve"> </w:t>
      </w:r>
    </w:p>
    <w:p w:rsidR="00DA6ABC" w:rsidRPr="0083671A" w:rsidRDefault="00DA6ABC" w:rsidP="00DA6ABC">
      <w:pPr>
        <w:spacing w:line="360" w:lineRule="auto"/>
        <w:rPr>
          <w:rFonts w:ascii="Times New Roman" w:hAnsi="Times New Roman"/>
          <w:bCs/>
          <w:noProof/>
          <w:sz w:val="28"/>
          <w:szCs w:val="28"/>
        </w:rPr>
      </w:pPr>
      <w:r w:rsidRPr="0083671A">
        <w:rPr>
          <w:rFonts w:ascii="Times New Roman" w:hAnsi="Times New Roman"/>
          <w:bCs/>
          <w:noProof/>
          <w:sz w:val="28"/>
          <w:szCs w:val="28"/>
        </w:rPr>
        <w:t xml:space="preserve">                                     </w:t>
      </w:r>
      <w:r>
        <w:rPr>
          <w:rFonts w:ascii="Times New Roman" w:hAnsi="Times New Roman"/>
          <w:bCs/>
          <w:noProof/>
          <w:sz w:val="28"/>
          <w:szCs w:val="28"/>
        </w:rPr>
        <w:t>Кам’янець, вулиця Шевченка 71,  індекс 28200</w:t>
      </w:r>
      <w:r w:rsidRPr="0083671A">
        <w:rPr>
          <w:rFonts w:ascii="Times New Roman" w:hAnsi="Times New Roman"/>
          <w:bCs/>
          <w:noProof/>
          <w:sz w:val="28"/>
          <w:szCs w:val="28"/>
        </w:rPr>
        <w:t>.</w:t>
      </w:r>
    </w:p>
    <w:p w:rsidR="00205166" w:rsidRPr="00DA6ABC" w:rsidRDefault="00DA6ABC" w:rsidP="00DA6ABC">
      <w:pPr>
        <w:spacing w:line="360" w:lineRule="auto"/>
        <w:rPr>
          <w:rFonts w:ascii="Times New Roman" w:hAnsi="Times New Roman"/>
          <w:bCs/>
          <w:noProof/>
          <w:sz w:val="28"/>
          <w:szCs w:val="28"/>
        </w:rPr>
      </w:pPr>
      <w:r>
        <w:rPr>
          <w:rFonts w:ascii="Times New Roman" w:hAnsi="Times New Roman"/>
          <w:b/>
          <w:bCs/>
          <w:noProof/>
          <w:sz w:val="28"/>
          <w:szCs w:val="28"/>
        </w:rPr>
        <w:t xml:space="preserve"> К</w:t>
      </w:r>
      <w:r w:rsidRPr="0083671A">
        <w:rPr>
          <w:rFonts w:ascii="Times New Roman" w:hAnsi="Times New Roman"/>
          <w:b/>
          <w:bCs/>
          <w:noProof/>
          <w:sz w:val="28"/>
          <w:szCs w:val="28"/>
        </w:rPr>
        <w:t xml:space="preserve">ерівник: </w:t>
      </w:r>
      <w:r>
        <w:rPr>
          <w:rFonts w:ascii="Times New Roman" w:hAnsi="Times New Roman"/>
          <w:bCs/>
          <w:noProof/>
          <w:sz w:val="28"/>
          <w:szCs w:val="28"/>
        </w:rPr>
        <w:t>Лахнов Сергій Сергійович, учитель</w:t>
      </w:r>
      <w:r w:rsidRPr="0083671A">
        <w:rPr>
          <w:rFonts w:ascii="Times New Roman" w:hAnsi="Times New Roman"/>
          <w:bCs/>
          <w:noProof/>
          <w:sz w:val="28"/>
          <w:szCs w:val="28"/>
        </w:rPr>
        <w:t xml:space="preserve"> історії та </w:t>
      </w:r>
      <w:r>
        <w:rPr>
          <w:rFonts w:ascii="Times New Roman" w:hAnsi="Times New Roman"/>
          <w:bCs/>
          <w:noProof/>
          <w:sz w:val="28"/>
          <w:szCs w:val="28"/>
        </w:rPr>
        <w:t>географії</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noProof/>
          <w:sz w:val="28"/>
          <w:szCs w:val="28"/>
          <w:lang w:eastAsia="ru-RU"/>
        </w:rPr>
        <w:t xml:space="preserve">         </w:t>
      </w:r>
      <w:r w:rsidRPr="00077A53">
        <w:rPr>
          <w:rFonts w:ascii="Times New Roman" w:eastAsia="Times New Roman" w:hAnsi="Times New Roman"/>
          <w:noProof/>
          <w:sz w:val="28"/>
          <w:szCs w:val="28"/>
          <w:lang w:eastAsia="ru-RU"/>
        </w:rPr>
        <w:t xml:space="preserve">Україна впевнено торує свій шлях у XXI столітті, що супроводжується глибоким переосмисленням національної історії та відродженням пам’яті про постаті, чиї імена тривалий час були під забороною або зазнавали викривлень. Саме тому для нас важливо звернутися до життєпису </w:t>
      </w:r>
      <w:r w:rsidRPr="00077A53">
        <w:rPr>
          <w:rFonts w:ascii="Times New Roman" w:eastAsia="Times New Roman" w:hAnsi="Times New Roman"/>
          <w:b/>
          <w:bCs/>
          <w:noProof/>
          <w:sz w:val="28"/>
          <w:szCs w:val="28"/>
          <w:lang w:eastAsia="ru-RU"/>
        </w:rPr>
        <w:t>Никифора Олександровича Григор’єва (Серветника)</w:t>
      </w:r>
      <w:r w:rsidRPr="00077A53">
        <w:rPr>
          <w:rFonts w:ascii="Times New Roman" w:eastAsia="Times New Roman" w:hAnsi="Times New Roman"/>
          <w:noProof/>
          <w:sz w:val="28"/>
          <w:szCs w:val="28"/>
          <w:lang w:eastAsia="ru-RU"/>
        </w:rPr>
        <w:t xml:space="preserve"> — Головного отамана повстанських військ Херсонщини, Запоріжжя і Таврії, чия діяльність залишила глибокий слід в історії нашого краю та всієї України у буремні 1917–1919 </w:t>
      </w:r>
      <w:r>
        <w:rPr>
          <w:rFonts w:ascii="Times New Roman" w:eastAsia="Times New Roman" w:hAnsi="Times New Roman"/>
          <w:noProof/>
          <w:sz w:val="28"/>
          <w:szCs w:val="28"/>
          <w:lang w:eastAsia="ru-RU"/>
        </w:rPr>
        <w:t xml:space="preserve">  </w:t>
      </w:r>
      <w:r w:rsidRPr="00077A53">
        <w:rPr>
          <w:rFonts w:ascii="Times New Roman" w:eastAsia="Times New Roman" w:hAnsi="Times New Roman"/>
          <w:noProof/>
          <w:sz w:val="28"/>
          <w:szCs w:val="28"/>
          <w:lang w:eastAsia="ru-RU"/>
        </w:rPr>
        <w:t>роки.</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b/>
          <w:bCs/>
          <w:noProof/>
          <w:sz w:val="28"/>
          <w:szCs w:val="28"/>
          <w:lang w:eastAsia="ru-RU"/>
        </w:rPr>
        <w:t xml:space="preserve">           </w:t>
      </w:r>
      <w:r w:rsidRPr="00077A53">
        <w:rPr>
          <w:rFonts w:ascii="Times New Roman" w:eastAsia="Times New Roman" w:hAnsi="Times New Roman"/>
          <w:b/>
          <w:bCs/>
          <w:noProof/>
          <w:sz w:val="28"/>
          <w:szCs w:val="28"/>
          <w:lang w:eastAsia="ru-RU"/>
        </w:rPr>
        <w:t>Актуальність теми</w:t>
      </w:r>
      <w:r w:rsidRPr="00077A53">
        <w:rPr>
          <w:rFonts w:ascii="Times New Roman" w:eastAsia="Times New Roman" w:hAnsi="Times New Roman"/>
          <w:noProof/>
          <w:sz w:val="28"/>
          <w:szCs w:val="28"/>
          <w:lang w:eastAsia="ru-RU"/>
        </w:rPr>
        <w:t xml:space="preserve"> полягає у необхідності об’єктивного висвітлення подій Української революції через призму діяльності регіональних лідерів. Постать отамана Григор’єва є ключем до розуміння специфіки повстанського руху на Півдні України, його стихійності, ідеологічних пошуків та трагічних суперечностей.</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b/>
          <w:bCs/>
          <w:noProof/>
          <w:sz w:val="28"/>
          <w:szCs w:val="28"/>
          <w:lang w:eastAsia="ru-RU"/>
        </w:rPr>
        <w:lastRenderedPageBreak/>
        <w:t xml:space="preserve">            </w:t>
      </w:r>
      <w:r w:rsidRPr="00077A53">
        <w:rPr>
          <w:rFonts w:ascii="Times New Roman" w:eastAsia="Times New Roman" w:hAnsi="Times New Roman"/>
          <w:b/>
          <w:bCs/>
          <w:noProof/>
          <w:sz w:val="28"/>
          <w:szCs w:val="28"/>
          <w:lang w:eastAsia="ru-RU"/>
        </w:rPr>
        <w:t>Метою роботи</w:t>
      </w:r>
      <w:r w:rsidRPr="00077A53">
        <w:rPr>
          <w:rFonts w:ascii="Times New Roman" w:eastAsia="Times New Roman" w:hAnsi="Times New Roman"/>
          <w:noProof/>
          <w:sz w:val="28"/>
          <w:szCs w:val="28"/>
          <w:lang w:eastAsia="ru-RU"/>
        </w:rPr>
        <w:t xml:space="preserve"> є дослідження життєвого шляху та військово-політичної діяльності Никифора Григор’єва на основі сучасних історичних джерел, аналіз його ролі у визвольних змаганнях та причин його стрімкого злету й загибелі.</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b/>
          <w:bCs/>
          <w:noProof/>
          <w:sz w:val="28"/>
          <w:szCs w:val="28"/>
          <w:lang w:eastAsia="ru-RU"/>
        </w:rPr>
        <w:t xml:space="preserve">          </w:t>
      </w:r>
      <w:r w:rsidRPr="00077A53">
        <w:rPr>
          <w:rFonts w:ascii="Times New Roman" w:eastAsia="Times New Roman" w:hAnsi="Times New Roman"/>
          <w:b/>
          <w:bCs/>
          <w:noProof/>
          <w:sz w:val="28"/>
          <w:szCs w:val="28"/>
          <w:lang w:eastAsia="ru-RU"/>
        </w:rPr>
        <w:t>Об’єкт дослідження</w:t>
      </w:r>
      <w:r w:rsidRPr="00077A53">
        <w:rPr>
          <w:rFonts w:ascii="Times New Roman" w:eastAsia="Times New Roman" w:hAnsi="Times New Roman"/>
          <w:noProof/>
          <w:sz w:val="28"/>
          <w:szCs w:val="28"/>
          <w:lang w:eastAsia="ru-RU"/>
        </w:rPr>
        <w:t xml:space="preserve"> — процес розгортання та функціонування повстанського руху на Півдні України в період 1918–1919 років.</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b/>
          <w:bCs/>
          <w:noProof/>
          <w:sz w:val="28"/>
          <w:szCs w:val="28"/>
          <w:lang w:eastAsia="ru-RU"/>
        </w:rPr>
        <w:t xml:space="preserve">          </w:t>
      </w:r>
      <w:r w:rsidRPr="00077A53">
        <w:rPr>
          <w:rFonts w:ascii="Times New Roman" w:eastAsia="Times New Roman" w:hAnsi="Times New Roman"/>
          <w:b/>
          <w:bCs/>
          <w:noProof/>
          <w:sz w:val="28"/>
          <w:szCs w:val="28"/>
          <w:lang w:eastAsia="ru-RU"/>
        </w:rPr>
        <w:t>Предмет дослідження</w:t>
      </w:r>
      <w:r w:rsidRPr="00077A53">
        <w:rPr>
          <w:rFonts w:ascii="Times New Roman" w:eastAsia="Times New Roman" w:hAnsi="Times New Roman"/>
          <w:noProof/>
          <w:sz w:val="28"/>
          <w:szCs w:val="28"/>
          <w:lang w:eastAsia="ru-RU"/>
        </w:rPr>
        <w:t xml:space="preserve"> — біографія, військові операції, політичні універсали та взаємовідносини Никифора Григор’єва з тогочасними політичними режимами (УНР, Гетьманат, більшовики, махновці).</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b/>
          <w:bCs/>
          <w:noProof/>
          <w:sz w:val="28"/>
          <w:szCs w:val="28"/>
          <w:lang w:eastAsia="ru-RU"/>
        </w:rPr>
        <w:t xml:space="preserve">          </w:t>
      </w:r>
      <w:r w:rsidRPr="00077A53">
        <w:rPr>
          <w:rFonts w:ascii="Times New Roman" w:eastAsia="Times New Roman" w:hAnsi="Times New Roman"/>
          <w:b/>
          <w:bCs/>
          <w:noProof/>
          <w:sz w:val="28"/>
          <w:szCs w:val="28"/>
          <w:lang w:eastAsia="ru-RU"/>
        </w:rPr>
        <w:t>Практичне значення одержаних результатів.</w:t>
      </w:r>
      <w:r w:rsidRPr="00077A53">
        <w:rPr>
          <w:rFonts w:ascii="Times New Roman" w:eastAsia="Times New Roman" w:hAnsi="Times New Roman"/>
          <w:noProof/>
          <w:sz w:val="28"/>
          <w:szCs w:val="28"/>
          <w:lang w:eastAsia="ru-RU"/>
        </w:rPr>
        <w:t xml:space="preserve"> Матеріали роботи можуть бути використані під час проведення уроків історії України та краєзнавства, тематичних екскурсій у місцевих музеях, підготовки наукових робіт МАН, створення цифрових проєктів про видатних земляків та виховних заходів, спрямованих на формування національної свідомості молоді.</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noProof/>
          <w:sz w:val="28"/>
          <w:szCs w:val="28"/>
          <w:lang w:eastAsia="ru-RU"/>
        </w:rPr>
        <w:t xml:space="preserve">       </w:t>
      </w:r>
      <w:r w:rsidRPr="00077A53">
        <w:rPr>
          <w:rFonts w:ascii="Times New Roman" w:eastAsia="Times New Roman" w:hAnsi="Times New Roman"/>
          <w:noProof/>
          <w:sz w:val="28"/>
          <w:szCs w:val="28"/>
          <w:lang w:eastAsia="ru-RU"/>
        </w:rPr>
        <w:t>Сьогодні історична наука має значний масив досліджень постаті отамана. Зокрема, у працях сучасних істориків та спогадах очевидців (як-от Юрія Тютюнника) розкривається багатогранність цієї особистості: від хороброго штабс-капітана та георгіївського кавалера до полковника Армії УНР та радянського комбрига.</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b/>
          <w:bCs/>
          <w:noProof/>
          <w:sz w:val="28"/>
          <w:szCs w:val="28"/>
          <w:lang w:eastAsia="ru-RU"/>
        </w:rPr>
        <w:t xml:space="preserve">      </w:t>
      </w:r>
      <w:r w:rsidRPr="00077A53">
        <w:rPr>
          <w:rFonts w:ascii="Times New Roman" w:eastAsia="Times New Roman" w:hAnsi="Times New Roman"/>
          <w:b/>
          <w:bCs/>
          <w:noProof/>
          <w:sz w:val="28"/>
          <w:szCs w:val="28"/>
          <w:lang w:eastAsia="ru-RU"/>
        </w:rPr>
        <w:t>Ключові віхи діяльності:</w:t>
      </w:r>
    </w:p>
    <w:p w:rsidR="00077A53" w:rsidRPr="00077A53" w:rsidRDefault="00077A53" w:rsidP="00077A53">
      <w:pPr>
        <w:numPr>
          <w:ilvl w:val="0"/>
          <w:numId w:val="1"/>
        </w:numPr>
        <w:spacing w:before="100" w:beforeAutospacing="1" w:after="100" w:afterAutospacing="1" w:line="360" w:lineRule="auto"/>
        <w:jc w:val="both"/>
        <w:rPr>
          <w:rFonts w:ascii="Times New Roman" w:eastAsia="Times New Roman" w:hAnsi="Times New Roman"/>
          <w:noProof/>
          <w:sz w:val="28"/>
          <w:szCs w:val="28"/>
          <w:lang w:eastAsia="ru-RU"/>
        </w:rPr>
      </w:pPr>
      <w:r w:rsidRPr="00077A53">
        <w:rPr>
          <w:rFonts w:ascii="Times New Roman" w:eastAsia="Times New Roman" w:hAnsi="Times New Roman"/>
          <w:b/>
          <w:bCs/>
          <w:noProof/>
          <w:sz w:val="28"/>
          <w:szCs w:val="28"/>
          <w:lang w:eastAsia="ru-RU"/>
        </w:rPr>
        <w:t>Становлення:</w:t>
      </w:r>
      <w:r w:rsidRPr="00077A53">
        <w:rPr>
          <w:rFonts w:ascii="Times New Roman" w:eastAsia="Times New Roman" w:hAnsi="Times New Roman"/>
          <w:noProof/>
          <w:sz w:val="28"/>
          <w:szCs w:val="28"/>
          <w:lang w:eastAsia="ru-RU"/>
        </w:rPr>
        <w:t xml:space="preserve"> Никифор Серветник (Григор’єв), уродженець Олександрійщини, пройшов шлях від акцизного чиновника до досвідченого військового офіцера.</w:t>
      </w:r>
    </w:p>
    <w:p w:rsidR="00077A53" w:rsidRPr="00077A53" w:rsidRDefault="00077A53" w:rsidP="00077A53">
      <w:pPr>
        <w:numPr>
          <w:ilvl w:val="0"/>
          <w:numId w:val="1"/>
        </w:numPr>
        <w:spacing w:before="100" w:beforeAutospacing="1" w:after="100" w:afterAutospacing="1" w:line="360" w:lineRule="auto"/>
        <w:jc w:val="both"/>
        <w:rPr>
          <w:rFonts w:ascii="Times New Roman" w:eastAsia="Times New Roman" w:hAnsi="Times New Roman"/>
          <w:noProof/>
          <w:sz w:val="28"/>
          <w:szCs w:val="28"/>
          <w:lang w:eastAsia="ru-RU"/>
        </w:rPr>
      </w:pPr>
      <w:r w:rsidRPr="00077A53">
        <w:rPr>
          <w:rFonts w:ascii="Times New Roman" w:eastAsia="Times New Roman" w:hAnsi="Times New Roman"/>
          <w:b/>
          <w:bCs/>
          <w:noProof/>
          <w:sz w:val="28"/>
          <w:szCs w:val="28"/>
          <w:lang w:eastAsia="ru-RU"/>
        </w:rPr>
        <w:t>Служба Україні:</w:t>
      </w:r>
      <w:r w:rsidRPr="00077A53">
        <w:rPr>
          <w:rFonts w:ascii="Times New Roman" w:eastAsia="Times New Roman" w:hAnsi="Times New Roman"/>
          <w:noProof/>
          <w:sz w:val="28"/>
          <w:szCs w:val="28"/>
          <w:lang w:eastAsia="ru-RU"/>
        </w:rPr>
        <w:t xml:space="preserve"> Як підполковник Армії УНР, він виявив непересічні організаторські здібності, формуючи боєздатні частини з селянських загонів. Його незгода з політикою Гетьманату Скоропадського привела його до лав активних борців за Директорію.</w:t>
      </w:r>
    </w:p>
    <w:p w:rsidR="00077A53" w:rsidRPr="00077A53" w:rsidRDefault="00077A53" w:rsidP="00077A53">
      <w:pPr>
        <w:numPr>
          <w:ilvl w:val="0"/>
          <w:numId w:val="1"/>
        </w:numPr>
        <w:spacing w:before="100" w:beforeAutospacing="1" w:after="100" w:afterAutospacing="1" w:line="360" w:lineRule="auto"/>
        <w:jc w:val="both"/>
        <w:rPr>
          <w:rFonts w:ascii="Times New Roman" w:eastAsia="Times New Roman" w:hAnsi="Times New Roman"/>
          <w:noProof/>
          <w:sz w:val="28"/>
          <w:szCs w:val="28"/>
          <w:lang w:eastAsia="ru-RU"/>
        </w:rPr>
      </w:pPr>
      <w:r w:rsidRPr="00077A53">
        <w:rPr>
          <w:rFonts w:ascii="Times New Roman" w:eastAsia="Times New Roman" w:hAnsi="Times New Roman"/>
          <w:b/>
          <w:bCs/>
          <w:noProof/>
          <w:sz w:val="28"/>
          <w:szCs w:val="28"/>
          <w:lang w:eastAsia="ru-RU"/>
        </w:rPr>
        <w:lastRenderedPageBreak/>
        <w:t>Тріумф та ідеологічний злам:</w:t>
      </w:r>
      <w:r w:rsidRPr="00077A53">
        <w:rPr>
          <w:rFonts w:ascii="Times New Roman" w:eastAsia="Times New Roman" w:hAnsi="Times New Roman"/>
          <w:noProof/>
          <w:sz w:val="28"/>
          <w:szCs w:val="28"/>
          <w:lang w:eastAsia="ru-RU"/>
        </w:rPr>
        <w:t xml:space="preserve"> У 1919 році, очоливши Херсонську дивізію, Григор’єв пішов на тактичний союз із більшовиками. Його війська звільнили від Антанти Херсон та Одесу, за що отаман був нагороджений орденом Червоного Прапора.</w:t>
      </w:r>
    </w:p>
    <w:p w:rsidR="00077A53" w:rsidRPr="00077A53" w:rsidRDefault="00077A53" w:rsidP="00077A53">
      <w:pPr>
        <w:numPr>
          <w:ilvl w:val="0"/>
          <w:numId w:val="1"/>
        </w:numPr>
        <w:spacing w:before="100" w:beforeAutospacing="1" w:after="100" w:afterAutospacing="1" w:line="360" w:lineRule="auto"/>
        <w:jc w:val="both"/>
        <w:rPr>
          <w:rFonts w:ascii="Times New Roman" w:eastAsia="Times New Roman" w:hAnsi="Times New Roman"/>
          <w:noProof/>
          <w:sz w:val="28"/>
          <w:szCs w:val="28"/>
          <w:lang w:eastAsia="ru-RU"/>
        </w:rPr>
      </w:pPr>
      <w:r w:rsidRPr="00077A53">
        <w:rPr>
          <w:rFonts w:ascii="Times New Roman" w:eastAsia="Times New Roman" w:hAnsi="Times New Roman"/>
          <w:b/>
          <w:bCs/>
          <w:noProof/>
          <w:sz w:val="28"/>
          <w:szCs w:val="28"/>
          <w:lang w:eastAsia="ru-RU"/>
        </w:rPr>
        <w:t>Повстання проти більшовиків:</w:t>
      </w:r>
      <w:r w:rsidRPr="00077A53">
        <w:rPr>
          <w:rFonts w:ascii="Times New Roman" w:eastAsia="Times New Roman" w:hAnsi="Times New Roman"/>
          <w:noProof/>
          <w:sz w:val="28"/>
          <w:szCs w:val="28"/>
          <w:lang w:eastAsia="ru-RU"/>
        </w:rPr>
        <w:t xml:space="preserve"> У травні 1919 року Григор’єв підняв масштабне антибільшовицьке повстання. Його знаменитий Універсал «До Українського народу» із закликом «Борітеся — поборете!» став маніфестом боротьби за владу народних Рад без диктатури окремих партій. Олександрія на короткий час стала центром незалежної повстанської республіки.</w:t>
      </w:r>
    </w:p>
    <w:p w:rsidR="00077A53" w:rsidRPr="00077A53" w:rsidRDefault="00077A53" w:rsidP="00077A53">
      <w:pPr>
        <w:numPr>
          <w:ilvl w:val="0"/>
          <w:numId w:val="1"/>
        </w:numPr>
        <w:spacing w:before="100" w:beforeAutospacing="1" w:after="100" w:afterAutospacing="1" w:line="360" w:lineRule="auto"/>
        <w:jc w:val="both"/>
        <w:rPr>
          <w:rFonts w:ascii="Times New Roman" w:eastAsia="Times New Roman" w:hAnsi="Times New Roman"/>
          <w:noProof/>
          <w:sz w:val="28"/>
          <w:szCs w:val="28"/>
          <w:lang w:eastAsia="ru-RU"/>
        </w:rPr>
      </w:pPr>
      <w:r w:rsidRPr="00077A53">
        <w:rPr>
          <w:rFonts w:ascii="Times New Roman" w:eastAsia="Times New Roman" w:hAnsi="Times New Roman"/>
          <w:b/>
          <w:bCs/>
          <w:noProof/>
          <w:sz w:val="28"/>
          <w:szCs w:val="28"/>
          <w:lang w:eastAsia="ru-RU"/>
        </w:rPr>
        <w:t>Трагічний фінал:</w:t>
      </w:r>
      <w:r w:rsidRPr="00077A53">
        <w:rPr>
          <w:rFonts w:ascii="Times New Roman" w:eastAsia="Times New Roman" w:hAnsi="Times New Roman"/>
          <w:noProof/>
          <w:sz w:val="28"/>
          <w:szCs w:val="28"/>
          <w:lang w:eastAsia="ru-RU"/>
        </w:rPr>
        <w:t xml:space="preserve"> Неузгодженість дій із Нестором Махном та звинувачення у таємних перемовинах із денікінцями призвели до підступного вбивства отамана 27 липня 1919 року в селі Сентовому.</w:t>
      </w:r>
    </w:p>
    <w:p w:rsidR="00077A53" w:rsidRPr="00077A53" w:rsidRDefault="00077A53" w:rsidP="00077A53">
      <w:pPr>
        <w:spacing w:before="100" w:beforeAutospacing="1" w:after="100" w:afterAutospacing="1" w:line="360" w:lineRule="auto"/>
        <w:jc w:val="both"/>
        <w:rPr>
          <w:rFonts w:ascii="Times New Roman" w:eastAsia="Times New Roman" w:hAnsi="Times New Roman"/>
          <w:noProof/>
          <w:sz w:val="28"/>
          <w:szCs w:val="28"/>
          <w:lang w:eastAsia="ru-RU"/>
        </w:rPr>
      </w:pPr>
      <w:r>
        <w:rPr>
          <w:rFonts w:ascii="Times New Roman" w:eastAsia="Times New Roman" w:hAnsi="Times New Roman"/>
          <w:noProof/>
          <w:sz w:val="28"/>
          <w:szCs w:val="28"/>
          <w:lang w:eastAsia="ru-RU"/>
        </w:rPr>
        <w:t xml:space="preserve">         </w:t>
      </w:r>
      <w:r w:rsidRPr="00077A53">
        <w:rPr>
          <w:rFonts w:ascii="Times New Roman" w:eastAsia="Times New Roman" w:hAnsi="Times New Roman"/>
          <w:noProof/>
          <w:sz w:val="28"/>
          <w:szCs w:val="28"/>
          <w:lang w:eastAsia="ru-RU"/>
        </w:rPr>
        <w:t>Таким чином, постать Никифора Григор’єва є втіленням трагедії українського отаманства: щире прагнення свободи для свого народу часто ставало заручником особистих амбіцій та підступних політичних ігор того часу. Попри неоднозначність деяких вчинків, він залишається символом незламності духу степової України. Пам'ять про нього, що намагалася стерти радянська влада (зруйнувавши навіть його будинок в Олександрії), сьогодні повертається до нащадків як важливий урок історії.</w:t>
      </w:r>
    </w:p>
    <w:p w:rsidR="00077A53" w:rsidRPr="00077A53" w:rsidRDefault="00077A53" w:rsidP="00077A53">
      <w:pPr>
        <w:spacing w:line="360" w:lineRule="auto"/>
        <w:jc w:val="both"/>
        <w:rPr>
          <w:rFonts w:ascii="Times New Roman" w:hAnsi="Times New Roman"/>
          <w:noProof/>
          <w:sz w:val="28"/>
          <w:szCs w:val="28"/>
        </w:rPr>
      </w:pPr>
    </w:p>
    <w:sectPr w:rsidR="00077A53" w:rsidRPr="00077A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A0F55"/>
    <w:multiLevelType w:val="multilevel"/>
    <w:tmpl w:val="9F38D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85B"/>
    <w:rsid w:val="00077A53"/>
    <w:rsid w:val="0020341B"/>
    <w:rsid w:val="00205166"/>
    <w:rsid w:val="003C4436"/>
    <w:rsid w:val="00C1785B"/>
    <w:rsid w:val="00DA6A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94098"/>
  <w15:chartTrackingRefBased/>
  <w15:docId w15:val="{C7FE989B-B7B0-4DC9-BD91-B9AC3BC8F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341B"/>
    <w:pPr>
      <w:spacing w:after="200" w:line="276" w:lineRule="auto"/>
    </w:pPr>
    <w:rPr>
      <w:rFonts w:ascii="Calibri" w:eastAsia="Calibri" w:hAnsi="Calibri"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A6A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5814251">
      <w:bodyDiv w:val="1"/>
      <w:marLeft w:val="0"/>
      <w:marRight w:val="0"/>
      <w:marTop w:val="0"/>
      <w:marBottom w:val="0"/>
      <w:divBdr>
        <w:top w:val="none" w:sz="0" w:space="0" w:color="auto"/>
        <w:left w:val="none" w:sz="0" w:space="0" w:color="auto"/>
        <w:bottom w:val="none" w:sz="0" w:space="0" w:color="auto"/>
        <w:right w:val="none" w:sz="0" w:space="0" w:color="auto"/>
      </w:divBdr>
    </w:div>
    <w:div w:id="154383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s.l.2088@ukr.ne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641</Words>
  <Characters>3655</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2026-03-17T09:20:00Z</dcterms:created>
  <dcterms:modified xsi:type="dcterms:W3CDTF">2026-03-25T10:11:00Z</dcterms:modified>
</cp:coreProperties>
</file>