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Міністерство освіти і науки України </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Департамент освіти і науки  Кіровоградської облдержадміністрації</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Кіровоградська Мала академія наук учнівської молоді</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8"/>
          <w:szCs w:val="28"/>
          <w:u w:val="none"/>
          <w:shd w:fill="auto" w:val="clear"/>
          <w:vertAlign w:val="baseline"/>
          <w:rtl w:val="0"/>
        </w:rPr>
        <w:t xml:space="preserve">Всеукраїнський  інтерактивний конкурс «МАН-Юніор Дослідник»</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Номінація</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«Астроном-Юніор»</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ОЦІНКА ЕНЕРГІЇ СОНЯЧНОГО ВИПРОМІНЮВАННЯ</w: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Автор:</w:t>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Заболотний Владислав Вадимович,</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учень  7 класу </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Користівського ліцею  </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Приютівської селищної ради </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Олександрійського району </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Кіровоградської області </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103"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Керівники:</w:t>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Правий Віктор Павлович, </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вчитель фізики</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Користівського ліцею  </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Приютівської селищної ради </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Олександрійського району </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Кіровоградської області</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Правий Олександр Вікторович, </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вчитель фізики  та  інформатики</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Користівського ліцею  </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Приютівської селищної ради </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962"/>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Олександрійського району</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2124"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Кіровоградської області</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Приютівка – 2025</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Мета дослідження:</w:t>
      </w: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оцінити енергію сонячного випромінювання УФ-діапазону на основі цифрової апаратури</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Завдання дослідження:</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b w:val="0"/>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оцінити сонячну іррадіацію на основі УФА-випромінювання для добування електроенергії в нашій місцевості;</w:t>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b w:val="0"/>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оцінити сонячну іррадіацію у весінній сонячний день та порівняти з потужністю електроенергії, що отримується в цей період від УФ-панелей;</w:t>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b w:val="0"/>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оцінити сонячну іррадіацію протягом доби.</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Об’єкт дослідження:</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енергія сонячного випромінювання на основі УФ-променів.</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Предмет дослідження:</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оцінка сонячної іррадіації та отримання електроенергії від УФ-панелей.</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Теоретична частина. </w:t>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42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Настала весна. Березень, квітень, травень – чудові місяці, які в більшості часу нас вражають сонячною та безхмарною погодою. Це чудовий привід дізнатися про Сонце – світло і тепло, яке воно нам дає. Сонце – найбільша до нашої планети зірка, центр сонячної системи. Людство вже має багато знань про Сонце. Енергія від Сонця випромінюється у вигляді тепла, світла, хвиль. Ми ж вирішили дослідити сонячну іррадіацію та УФ-випромінювання Сонця.</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Інтенсивність сонячного світла, яка досягає землі змінюється в залежності від часу доби, року, місця розташування та погодних умов. Загальна кількість енергії, підрахована за день або за рік, називається іррадіацією (або ще по-іншому «прихід сонячної радіації») та показує, наскільки потужним було сонячне випромінювання. Іррадіація вимірюється в Вт·год/м² в день, або інший період.</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Прихід сонячної радіації змінюється протягом дня та від місця до місця, особливо в гірських районах. Іррадіація змінюється в середньому від 1000 кВт·год/м² в рік для північноєвропейських країн, до 2000-2500 кВт·год/м² в рік для пустель. Погодні умови та схиляння сонця (яке залежить від широти місцевості), також призводить до відмінностей в приході сонячної радіації.</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 Україні, всупереч поширеній думці, дуже багато місць, де вигідно перетворювати сонячну енергію в електроенергію за допомогою сонячних батарей. Природно, в зимовий період вироблення енергії сонячними панелями істотно знижується, але все одно вартість електроенергії від сонячної електростанції залишається істотно нижче, ніж від дизельного або бензинового генератора. Особливо вигідно застосування сонячних батарей там, де немає централізованих електричних мереж і електрика з’являється за рахунок роботи дизель-генераторів.</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42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Раніше у власних дослідженнях ми експериментально довели, що сонячна радіація змінюється залежно місця розташування, погодних умов. Загальна кількість енергії підрахована за день або за рік називається іррадіацією та показує наскільки було потужним сонячне випромінювання. Для вимірювання сонячної радіації використовують актинометри і піргеліометри. Ми ж використали АЦП LabQuest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 (Laba2) з цифровими датчиками UVA-BTA  та UVВ-BTA американської фірми  VERNER.</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42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 даними EUROPEAN COMMISSION RC близько поверхні Землі можна прийняти середню величину сонячної радіації 635 Вт/м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У дуже ясний сонячний день від 950 Вт/м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до 1220 Вт/м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Дослідимо, використовуючи наші можливості які значення в нас і як це впливає на перетворення сонячної енергії в електричну.</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Експериментальна частина. </w:t>
      </w: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Сонячна радіація являє собою широкий спектр довжин хвиль, що охоплює видиме світло, інфрачервоне та УФ-випромінювання, але особливу увагу привертає УФА-складова. Тому, вимірювання, або оцінка рівнів УФА-променів є важливим фактором для практичного використання людиною.</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Ми дослідили рівень сонячної радіації, з метою визначення потенційно можливих закономірностей по залежності видобутку електроенергії від енергії сонячного випромінювання на основі цифрових характеристик.</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 основі цифрових інструментаріїв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LabQuest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 (Laba2), Logger Pro 3.14., UVA-BTA та UVВ-BTA ми виміряли інтенсивність УФ-випромінювання. А на основі даних отриманих з SOLARMAN Smart ми можемо порівнювати сонячну активність з фактом отримання електроенергії. Експерименти проводилися протягом 3 днів.</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42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Здобута електроенергія по дням: 1 день – 10,97 кВт.  2 день – 64,8 кВт. 3 день – 45,7 кВт.</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Максимальну потужність електроенергії на основі сонячних батарей на даний момент часу ми порівнюємо з активністю Сонця – випромінюванням в УФА діапазоні. І на основі одночасного спостереження по часові – 6 годин інтенсивності УФА-променів і  максимального значення, видобутої електроенергії (в середньому) можна зробити висновок скільки може вироблятися кВт·год електроенергії яка припадає на 1 мВт/м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УФА випромінювання для нашої місцевості (з деяким наближенням).</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Ось статистичні спостереження за 3 дні: </w:t>
      </w:r>
    </w:p>
    <w:tbl>
      <w:tblPr>
        <w:tblStyle w:val="Table1"/>
        <w:tblW w:w="1031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59"/>
        <w:gridCol w:w="2551"/>
        <w:gridCol w:w="2694"/>
        <w:gridCol w:w="4111"/>
        <w:tblGridChange w:id="0">
          <w:tblGrid>
            <w:gridCol w:w="959"/>
            <w:gridCol w:w="2551"/>
            <w:gridCol w:w="2694"/>
            <w:gridCol w:w="4111"/>
          </w:tblGrid>
        </w:tblGridChange>
      </w:tblGrid>
      <w:tr>
        <w:trPr>
          <w:cantSplit w:val="0"/>
          <w:tblHeader w:val="0"/>
        </w:trPr>
        <w:tc>
          <w:tcPr>
            <w:vAlign w:val="top"/>
          </w:tcPr>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день</w:t>
            </w:r>
          </w:p>
        </w:tc>
        <w:tc>
          <w:tcPr>
            <w:vAlign w:val="top"/>
          </w:tcPr>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вироблено,  кВт/год</w:t>
            </w:r>
          </w:p>
        </w:tc>
        <w:tc>
          <w:tcPr>
            <w:vAlign w:val="top"/>
          </w:tcPr>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споживання кВт/год</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рівень сонячної радіації мВт/м</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2</w:t>
            </w: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УФА</w:t>
            </w:r>
          </w:p>
        </w:tc>
      </w:tr>
      <w:tr>
        <w:trPr>
          <w:cantSplit w:val="0"/>
          <w:tblHeader w:val="0"/>
        </w:trPr>
        <w:tc>
          <w:tcPr>
            <w:vAlign w:val="top"/>
          </w:tcPr>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w:t>
            </w:r>
          </w:p>
        </w:tc>
        <w:tc>
          <w:tcPr>
            <w:vAlign w:val="top"/>
          </w:tcPr>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51</w:t>
            </w:r>
          </w:p>
        </w:tc>
        <w:tc>
          <w:tcPr>
            <w:vAlign w:val="top"/>
          </w:tcPr>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117,8</w:t>
            </w:r>
          </w:p>
        </w:tc>
        <w:tc>
          <w:tcPr>
            <w:vAlign w:val="top"/>
          </w:tcPr>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8100</w:t>
            </w:r>
          </w:p>
        </w:tc>
      </w:tr>
      <w:tr>
        <w:trPr>
          <w:cantSplit w:val="0"/>
          <w:tblHeader w:val="0"/>
        </w:trPr>
        <w:tc>
          <w:tcPr>
            <w:vAlign w:val="top"/>
          </w:tcPr>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w:t>
            </w:r>
          </w:p>
        </w:tc>
        <w:tc>
          <w:tcPr>
            <w:vAlign w:val="top"/>
          </w:tcPr>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64,8</w:t>
            </w:r>
          </w:p>
        </w:tc>
        <w:tc>
          <w:tcPr>
            <w:vAlign w:val="top"/>
          </w:tcPr>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117,6</w:t>
            </w:r>
          </w:p>
        </w:tc>
        <w:tc>
          <w:tcPr>
            <w:vAlign w:val="top"/>
          </w:tcPr>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9000</w:t>
            </w:r>
          </w:p>
        </w:tc>
      </w:tr>
      <w:tr>
        <w:trPr>
          <w:cantSplit w:val="0"/>
          <w:tblHeader w:val="0"/>
        </w:trPr>
        <w:tc>
          <w:tcPr>
            <w:vAlign w:val="top"/>
          </w:tcPr>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w:t>
            </w:r>
          </w:p>
        </w:tc>
        <w:tc>
          <w:tcPr>
            <w:vAlign w:val="top"/>
          </w:tcPr>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53,4</w:t>
            </w:r>
          </w:p>
        </w:tc>
        <w:tc>
          <w:tcPr>
            <w:vAlign w:val="top"/>
          </w:tcPr>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85,8</w:t>
            </w:r>
          </w:p>
        </w:tc>
        <w:tc>
          <w:tcPr>
            <w:vAlign w:val="top"/>
          </w:tcPr>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8200</w:t>
            </w:r>
          </w:p>
        </w:tc>
      </w:tr>
    </w:tbl>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Для аналізу візьмемо 1 день, який буде характерним для решти сонячних днів. Інтенсивність УФА радіації по годинах (з графіка):</w:t>
      </w:r>
    </w:p>
    <w:tbl>
      <w:tblPr>
        <w:tblStyle w:val="Table2"/>
        <w:tblW w:w="3936.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09"/>
        <w:gridCol w:w="2127"/>
        <w:tblGridChange w:id="0">
          <w:tblGrid>
            <w:gridCol w:w="1809"/>
            <w:gridCol w:w="2127"/>
          </w:tblGrid>
        </w:tblGridChange>
      </w:tblGrid>
      <w:tr>
        <w:trPr>
          <w:cantSplit w:val="0"/>
          <w:tblHeader w:val="0"/>
        </w:trPr>
        <w:tc>
          <w:tcPr>
            <w:vAlign w:val="top"/>
          </w:tcPr>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 година</w:t>
            </w:r>
          </w:p>
        </w:tc>
        <w:tc>
          <w:tcPr>
            <w:vAlign w:val="top"/>
          </w:tcPr>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5000 мВт/м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2</w:t>
            </w:r>
            <w:r w:rsidDel="00000000" w:rsidR="00000000" w:rsidRPr="00000000">
              <w:rPr>
                <w:rtl w:val="0"/>
              </w:rPr>
            </w:r>
          </w:p>
        </w:tc>
      </w:tr>
      <w:tr>
        <w:trPr>
          <w:cantSplit w:val="0"/>
          <w:tblHeader w:val="0"/>
        </w:trPr>
        <w:tc>
          <w:tcPr>
            <w:vAlign w:val="top"/>
          </w:tcPr>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 година</w:t>
            </w:r>
          </w:p>
        </w:tc>
        <w:tc>
          <w:tcPr>
            <w:vAlign w:val="top"/>
          </w:tcPr>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7000 мВт/м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2</w:t>
            </w:r>
            <w:r w:rsidDel="00000000" w:rsidR="00000000" w:rsidRPr="00000000">
              <w:rPr>
                <w:rtl w:val="0"/>
              </w:rPr>
            </w:r>
          </w:p>
        </w:tc>
      </w:tr>
      <w:tr>
        <w:trPr>
          <w:cantSplit w:val="0"/>
          <w:tblHeader w:val="0"/>
        </w:trPr>
        <w:tc>
          <w:tcPr>
            <w:vAlign w:val="top"/>
          </w:tcPr>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 година</w:t>
            </w:r>
          </w:p>
        </w:tc>
        <w:tc>
          <w:tcPr>
            <w:vAlign w:val="top"/>
          </w:tcPr>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8100 мВт/м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2</w:t>
            </w:r>
            <w:r w:rsidDel="00000000" w:rsidR="00000000" w:rsidRPr="00000000">
              <w:rPr>
                <w:rtl w:val="0"/>
              </w:rPr>
            </w:r>
          </w:p>
        </w:tc>
      </w:tr>
      <w:tr>
        <w:trPr>
          <w:cantSplit w:val="0"/>
          <w:tblHeader w:val="0"/>
        </w:trPr>
        <w:tc>
          <w:tcPr>
            <w:vAlign w:val="top"/>
          </w:tcPr>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 година</w:t>
            </w:r>
          </w:p>
        </w:tc>
        <w:tc>
          <w:tcPr>
            <w:vAlign w:val="top"/>
          </w:tcPr>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6200 мВт/м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2</w:t>
            </w:r>
            <w:r w:rsidDel="00000000" w:rsidR="00000000" w:rsidRPr="00000000">
              <w:rPr>
                <w:rtl w:val="0"/>
              </w:rPr>
            </w:r>
          </w:p>
        </w:tc>
      </w:tr>
      <w:tr>
        <w:trPr>
          <w:cantSplit w:val="0"/>
          <w:tblHeader w:val="0"/>
        </w:trPr>
        <w:tc>
          <w:tcPr>
            <w:vAlign w:val="top"/>
          </w:tcPr>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 година</w:t>
            </w:r>
          </w:p>
        </w:tc>
        <w:tc>
          <w:tcPr>
            <w:vAlign w:val="top"/>
          </w:tcPr>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3000 мВт/м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2</w:t>
            </w:r>
            <w:r w:rsidDel="00000000" w:rsidR="00000000" w:rsidRPr="00000000">
              <w:rPr>
                <w:rtl w:val="0"/>
              </w:rPr>
            </w:r>
          </w:p>
        </w:tc>
      </w:tr>
      <w:tr>
        <w:trPr>
          <w:cantSplit w:val="0"/>
          <w:tblHeader w:val="0"/>
        </w:trPr>
        <w:tc>
          <w:tcPr>
            <w:vAlign w:val="top"/>
          </w:tcPr>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 година</w:t>
            </w:r>
          </w:p>
        </w:tc>
        <w:tc>
          <w:tcPr>
            <w:vAlign w:val="top"/>
          </w:tcPr>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4000 мВт/м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2</w:t>
            </w:r>
            <w:r w:rsidDel="00000000" w:rsidR="00000000" w:rsidRPr="00000000">
              <w:rPr>
                <w:rtl w:val="0"/>
              </w:rPr>
            </w:r>
          </w:p>
        </w:tc>
      </w:tr>
    </w:tbl>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Середнє значення: (5000 + 7000 + 8100 + 6200 + 3000 + 4000) : 6 = 5550 мВт/м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2</w:t>
      </w: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Тоді:     64,8 кВт·год – 5550 мВт/м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2</w:t>
      </w: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1 кВт·год  –  </w:t>
      </w: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х</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      х</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 xml:space="preserve">1 кВт  год  · 5550 мВт/м</w:t>
      </w: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х= 85,6 мВт/м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2</w:t>
      </w: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64,8 кВт·год</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42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Тому, за нашими спостереженнями, вимірюваннями  щоб добути  1 кВт·год електроенергії  необхідно щоб сонячна радіація в УФА діапазоні була на рівні ≈ 86 мВт/м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це при споживанні 85,8 кВт/год. Тому, якщо в сонячний день сонячна радіація в межах 8000 мВт/м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то це може дати 93 кВт·год електроенергії в середньому. Ці дані дійсні для 60 панелей потужністю 700 Вт кожна. Тому в нашій місцевості вигідно добувати «зелену» енергію.</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42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Ми вирішили також дослідити освітленість, УФА та УФВ випромінювання протягом доби, особливу увагу при цьому звертаючи на УФВ проміння. </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42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Протягом спостережень після заходу Сонця спостерігається стабільність в показниках освітленості та УФА випромінювання в межах до сходу Сонця до 8:00 години ранку.  УФВ промені також «показують» свою стабільність з початку спостережень і становлять 13,4 мВт/м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Після сходу Сонця освітленість та УФА проміння демонструють підвищення показників до попереднього рівня, а УФВ проміння не змінилося. Робимо висновок, що УФВ проміння – найбільш проникне проміння і поширюється і вночі.  </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Висновки:</w:t>
      </w:r>
      <w:r w:rsidDel="00000000" w:rsidR="00000000" w:rsidRPr="00000000">
        <w:rPr>
          <w:rtl w:val="0"/>
        </w:rPr>
      </w:r>
    </w:p>
    <w:p w:rsidR="00000000" w:rsidDel="00000000" w:rsidP="00000000" w:rsidRDefault="00000000" w:rsidRPr="00000000" w14:paraId="0000006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Ми експериментально оцінили рівень сонячної іррадіації в нашій місцевості.</w:t>
      </w:r>
    </w:p>
    <w:p w:rsidR="00000000" w:rsidDel="00000000" w:rsidP="00000000" w:rsidRDefault="00000000" w:rsidRPr="00000000" w14:paraId="0000006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Інтенсивність УФА випромінювання в сонячній весняний день коливається в межах 5550 мВт/м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6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 цей же день при даній інтенсивності УФА випромінювання сонячними батареями (60 шт, 700 Вт кожна) вироблено 64,8 кВт·год електроенергії при споживанні 117,6 кВт·год.</w:t>
      </w:r>
    </w:p>
    <w:p w:rsidR="00000000" w:rsidDel="00000000" w:rsidP="00000000" w:rsidRDefault="00000000" w:rsidRPr="00000000" w14:paraId="0000006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 нашій місцевості вигідно перетворювати сонячну енергію в електричну.</w:t>
      </w:r>
    </w:p>
    <w:p w:rsidR="00000000" w:rsidDel="00000000" w:rsidP="00000000" w:rsidRDefault="00000000" w:rsidRPr="00000000" w14:paraId="0000006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Інтенсивність УФА випромінювання в межах 8000 мВт/м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при 60 панелях потужністю 700 Вт можуть потенційно дати до 100 кВт·год електроенергії.</w:t>
      </w:r>
    </w:p>
    <w:p w:rsidR="00000000" w:rsidDel="00000000" w:rsidP="00000000" w:rsidRDefault="00000000" w:rsidRPr="00000000" w14:paraId="0000006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УФ-випромінювання поширюється вночі, особливо В-типу, протягом доби стабільно, в межах 13 Вт/м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Використані джерела.</w:t>
      </w:r>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М. Ікбал (M. Iqbal): "An Introduction to Solar Radiation". </w:t>
      </w:r>
    </w:p>
    <w:p w:rsidR="00000000" w:rsidDel="00000000" w:rsidP="00000000" w:rsidRDefault="00000000" w:rsidRPr="00000000" w14:paraId="0000007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 М. Міхальський (C.M. Michalsky): "Solar Radiation: Theory and Measurement". </w:t>
      </w:r>
    </w:p>
    <w:p w:rsidR="00000000" w:rsidDel="00000000" w:rsidP="00000000" w:rsidRDefault="00000000" w:rsidRPr="00000000" w14:paraId="0000007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8"/>
          <w:szCs w:val="28"/>
          <w:u w:val="none"/>
          <w:shd w:fill="auto" w:val="clear"/>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 Й. Госвамі (D.Y. Goswami), Ф. Крейт (F. Kreith), Дж. Ф. Крейдер (J.F. Kreider): "Principles of Solar Engineering".</w:t>
      </w:r>
    </w:p>
    <w:p w:rsidR="00000000" w:rsidDel="00000000" w:rsidP="00000000" w:rsidRDefault="00000000" w:rsidRPr="00000000" w14:paraId="0000007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08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hyperlink r:id="rId6">
        <w:r w:rsidDel="00000000" w:rsidR="00000000" w:rsidRPr="00000000">
          <w:rPr>
            <w:color w:val="1155cc"/>
            <w:sz w:val="22"/>
            <w:szCs w:val="22"/>
            <w:u w:val="single"/>
            <w:rtl w:val="0"/>
          </w:rPr>
          <w:t xml:space="preserve">https://surl.lu/qpofvw</w:t>
        </w:r>
      </w:hyperlink>
      <w:r w:rsidDel="00000000" w:rsidR="00000000" w:rsidRPr="00000000">
        <w:rPr>
          <w:rtl w:val="0"/>
        </w:rPr>
      </w:r>
    </w:p>
    <w:sectPr>
      <w:pgSz w:h="16838" w:w="11906" w:orient="portrait"/>
      <w:pgMar w:bottom="1134" w:top="567" w:left="1134" w:right="566"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Gungsuh"/>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1069" w:hanging="360"/>
      </w:pPr>
      <w:rPr>
        <w:rFonts w:ascii="Times New Roman" w:cs="Times New Roman" w:eastAsia="Times New Roman" w:hAnsi="Times New Roman"/>
        <w:vertAlign w:val="baseline"/>
      </w:rPr>
    </w:lvl>
    <w:lvl w:ilvl="1">
      <w:start w:val="1"/>
      <w:numFmt w:val="bullet"/>
      <w:lvlText w:val="o"/>
      <w:lvlJc w:val="left"/>
      <w:pPr>
        <w:ind w:left="1789" w:hanging="360"/>
      </w:pPr>
      <w:rPr>
        <w:rFonts w:ascii="Courier New" w:cs="Courier New" w:eastAsia="Courier New" w:hAnsi="Courier New"/>
        <w:vertAlign w:val="baseline"/>
      </w:rPr>
    </w:lvl>
    <w:lvl w:ilvl="2">
      <w:start w:val="1"/>
      <w:numFmt w:val="bullet"/>
      <w:lvlText w:val="▪"/>
      <w:lvlJc w:val="left"/>
      <w:pPr>
        <w:ind w:left="2509" w:hanging="360"/>
      </w:pPr>
      <w:rPr>
        <w:rFonts w:ascii="Noto Sans Symbols" w:cs="Noto Sans Symbols" w:eastAsia="Noto Sans Symbols" w:hAnsi="Noto Sans Symbols"/>
        <w:vertAlign w:val="baseline"/>
      </w:rPr>
    </w:lvl>
    <w:lvl w:ilvl="3">
      <w:start w:val="1"/>
      <w:numFmt w:val="bullet"/>
      <w:lvlText w:val="●"/>
      <w:lvlJc w:val="left"/>
      <w:pPr>
        <w:ind w:left="3229" w:hanging="360"/>
      </w:pPr>
      <w:rPr>
        <w:rFonts w:ascii="Noto Sans Symbols" w:cs="Noto Sans Symbols" w:eastAsia="Noto Sans Symbols" w:hAnsi="Noto Sans Symbols"/>
        <w:vertAlign w:val="baseline"/>
      </w:rPr>
    </w:lvl>
    <w:lvl w:ilvl="4">
      <w:start w:val="1"/>
      <w:numFmt w:val="bullet"/>
      <w:lvlText w:val="o"/>
      <w:lvlJc w:val="left"/>
      <w:pPr>
        <w:ind w:left="3949" w:hanging="360"/>
      </w:pPr>
      <w:rPr>
        <w:rFonts w:ascii="Courier New" w:cs="Courier New" w:eastAsia="Courier New" w:hAnsi="Courier New"/>
        <w:vertAlign w:val="baseline"/>
      </w:rPr>
    </w:lvl>
    <w:lvl w:ilvl="5">
      <w:start w:val="1"/>
      <w:numFmt w:val="bullet"/>
      <w:lvlText w:val="▪"/>
      <w:lvlJc w:val="left"/>
      <w:pPr>
        <w:ind w:left="4669" w:hanging="360"/>
      </w:pPr>
      <w:rPr>
        <w:rFonts w:ascii="Noto Sans Symbols" w:cs="Noto Sans Symbols" w:eastAsia="Noto Sans Symbols" w:hAnsi="Noto Sans Symbols"/>
        <w:vertAlign w:val="baseline"/>
      </w:rPr>
    </w:lvl>
    <w:lvl w:ilvl="6">
      <w:start w:val="1"/>
      <w:numFmt w:val="bullet"/>
      <w:lvlText w:val="●"/>
      <w:lvlJc w:val="left"/>
      <w:pPr>
        <w:ind w:left="5389" w:hanging="360"/>
      </w:pPr>
      <w:rPr>
        <w:rFonts w:ascii="Noto Sans Symbols" w:cs="Noto Sans Symbols" w:eastAsia="Noto Sans Symbols" w:hAnsi="Noto Sans Symbols"/>
        <w:vertAlign w:val="baseline"/>
      </w:rPr>
    </w:lvl>
    <w:lvl w:ilvl="7">
      <w:start w:val="1"/>
      <w:numFmt w:val="bullet"/>
      <w:lvlText w:val="o"/>
      <w:lvlJc w:val="left"/>
      <w:pPr>
        <w:ind w:left="6109" w:hanging="360"/>
      </w:pPr>
      <w:rPr>
        <w:rFonts w:ascii="Courier New" w:cs="Courier New" w:eastAsia="Courier New" w:hAnsi="Courier New"/>
        <w:vertAlign w:val="baseline"/>
      </w:rPr>
    </w:lvl>
    <w:lvl w:ilvl="8">
      <w:start w:val="1"/>
      <w:numFmt w:val="bullet"/>
      <w:lvlText w:val="▪"/>
      <w:lvlJc w:val="left"/>
      <w:pPr>
        <w:ind w:left="6829" w:hanging="360"/>
      </w:pPr>
      <w:rPr>
        <w:rFonts w:ascii="Noto Sans Symbols" w:cs="Noto Sans Symbols" w:eastAsia="Noto Sans Symbols" w:hAnsi="Noto Sans Symbols"/>
        <w:vertAlign w:val="baseline"/>
      </w:rPr>
    </w:lvl>
  </w:abstractNum>
  <w:abstractNum w:abstractNumId="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lvl w:ilvl="0">
      <w:start w:val="1"/>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uk-UA"/>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surl.lu/qpofvw"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