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501E" w:rsidRPr="0075501E" w:rsidRDefault="003F6538" w:rsidP="003F6538">
      <w:pPr>
        <w:pStyle w:val="a3"/>
        <w:ind w:firstLine="0"/>
        <w:jc w:val="center"/>
        <w:rPr>
          <w:b/>
          <w:iCs/>
          <w:spacing w:val="-4"/>
        </w:rPr>
      </w:pPr>
      <w:r w:rsidRPr="003F6538">
        <w:rPr>
          <w:b/>
          <w:bCs/>
          <w:iCs/>
          <w:spacing w:val="-4"/>
        </w:rPr>
        <w:t>Поховальні пам'ятки скіфського часу сіверськодонецького регіону (на прикладі Пісочинського могильника)</w:t>
      </w:r>
    </w:p>
    <w:p w:rsidR="0075501E" w:rsidRPr="008D3D50" w:rsidRDefault="0075501E" w:rsidP="00A21FBA">
      <w:pPr>
        <w:pStyle w:val="a3"/>
        <w:spacing w:line="240" w:lineRule="auto"/>
        <w:ind w:firstLine="709"/>
        <w:rPr>
          <w:spacing w:val="-4"/>
          <w:lang w:val="uk-UA"/>
        </w:rPr>
      </w:pPr>
      <w:r w:rsidRPr="0075501E">
        <w:rPr>
          <w:b/>
          <w:iCs/>
          <w:spacing w:val="-4"/>
          <w:lang w:val="uk-UA"/>
        </w:rPr>
        <w:t xml:space="preserve"> </w:t>
      </w:r>
      <w:r w:rsidR="003F6538" w:rsidRPr="003F6538">
        <w:rPr>
          <w:lang w:val="uk-UA"/>
        </w:rPr>
        <w:t>Добрянська Єлизавета Дмитрівна</w:t>
      </w:r>
      <w:r w:rsidRPr="008C36FC">
        <w:rPr>
          <w:iCs/>
          <w:spacing w:val="-4"/>
          <w:lang w:val="uk-UA"/>
        </w:rPr>
        <w:t>; Донецьке територіальне відділення</w:t>
      </w:r>
      <w:r>
        <w:rPr>
          <w:iCs/>
          <w:spacing w:val="-4"/>
          <w:lang w:val="uk-UA"/>
        </w:rPr>
        <w:t xml:space="preserve"> Малої академії наук України</w:t>
      </w:r>
      <w:r w:rsidRPr="008C36FC">
        <w:rPr>
          <w:iCs/>
          <w:spacing w:val="-4"/>
          <w:lang w:val="uk-UA"/>
        </w:rPr>
        <w:t xml:space="preserve">; </w:t>
      </w:r>
      <w:r w:rsidR="000D7F60">
        <w:rPr>
          <w:iCs/>
          <w:spacing w:val="-4"/>
          <w:lang w:val="uk-UA"/>
        </w:rPr>
        <w:t>КПНЗ</w:t>
      </w:r>
      <w:r>
        <w:rPr>
          <w:iCs/>
          <w:spacing w:val="-4"/>
          <w:lang w:val="uk-UA"/>
        </w:rPr>
        <w:t xml:space="preserve"> «Донецька обласна Мала академія наук учнівської молоді»; </w:t>
      </w:r>
      <w:r w:rsidR="003F6538">
        <w:rPr>
          <w:iCs/>
          <w:spacing w:val="-4"/>
          <w:lang w:val="uk-UA"/>
        </w:rPr>
        <w:t>Світлодарська загальноосвітня школа Світлодарської міської військової адміністрації Бахмутського району Донецької області</w:t>
      </w:r>
      <w:r>
        <w:rPr>
          <w:iCs/>
          <w:spacing w:val="-4"/>
          <w:lang w:val="uk-UA"/>
        </w:rPr>
        <w:t xml:space="preserve">; </w:t>
      </w:r>
      <w:r w:rsidR="00D95C50">
        <w:rPr>
          <w:iCs/>
          <w:spacing w:val="-4"/>
          <w:lang w:val="uk-UA"/>
        </w:rPr>
        <w:t>10</w:t>
      </w:r>
      <w:r>
        <w:rPr>
          <w:iCs/>
          <w:spacing w:val="-4"/>
          <w:lang w:val="uk-UA"/>
        </w:rPr>
        <w:t> клас.</w:t>
      </w:r>
      <w:r w:rsidRPr="008C36FC">
        <w:rPr>
          <w:iCs/>
          <w:spacing w:val="-4"/>
          <w:lang w:val="uk-UA"/>
        </w:rPr>
        <w:t xml:space="preserve"> </w:t>
      </w:r>
    </w:p>
    <w:p w:rsidR="0075501E" w:rsidRPr="00D95C50" w:rsidRDefault="0075501E" w:rsidP="00D95C50">
      <w:pPr>
        <w:pStyle w:val="a3"/>
        <w:spacing w:line="240" w:lineRule="auto"/>
        <w:ind w:firstLine="709"/>
        <w:rPr>
          <w:lang w:val="uk-UA"/>
        </w:rPr>
      </w:pPr>
      <w:r>
        <w:rPr>
          <w:iCs/>
          <w:spacing w:val="-4"/>
          <w:lang w:val="uk-UA"/>
        </w:rPr>
        <w:t>Науков</w:t>
      </w:r>
      <w:r w:rsidR="003F6538">
        <w:rPr>
          <w:iCs/>
          <w:spacing w:val="-4"/>
          <w:lang w:val="uk-UA"/>
        </w:rPr>
        <w:t>ий</w:t>
      </w:r>
      <w:r>
        <w:rPr>
          <w:iCs/>
          <w:spacing w:val="-4"/>
          <w:lang w:val="uk-UA"/>
        </w:rPr>
        <w:t xml:space="preserve"> керівн</w:t>
      </w:r>
      <w:r w:rsidR="003F6538">
        <w:rPr>
          <w:iCs/>
          <w:spacing w:val="-4"/>
          <w:lang w:val="uk-UA"/>
        </w:rPr>
        <w:t>ик</w:t>
      </w:r>
      <w:r>
        <w:rPr>
          <w:iCs/>
          <w:spacing w:val="-4"/>
          <w:lang w:val="uk-UA"/>
        </w:rPr>
        <w:t xml:space="preserve"> </w:t>
      </w:r>
      <w:r w:rsidRPr="00316FA2">
        <w:rPr>
          <w:lang w:val="uk-UA"/>
        </w:rPr>
        <w:t>–</w:t>
      </w:r>
      <w:r>
        <w:rPr>
          <w:lang w:val="uk-UA"/>
        </w:rPr>
        <w:t xml:space="preserve"> </w:t>
      </w:r>
      <w:r w:rsidR="003F6538">
        <w:rPr>
          <w:lang w:val="uk-UA"/>
        </w:rPr>
        <w:t xml:space="preserve">Гутаркіна Марина Анатоліївна, вчитель історії Світлодарської ЗОШ; науковий консультант – </w:t>
      </w:r>
      <w:r w:rsidR="00D95C50" w:rsidRPr="00D95C50">
        <w:rPr>
          <w:lang w:val="uk-UA"/>
        </w:rPr>
        <w:t>Рибалка Людмила Дмитрівна,</w:t>
      </w:r>
      <w:r w:rsidR="00D95C50">
        <w:rPr>
          <w:lang w:val="uk-UA"/>
        </w:rPr>
        <w:t xml:space="preserve"> </w:t>
      </w:r>
      <w:r w:rsidR="00D95C50" w:rsidRPr="00D95C50">
        <w:rPr>
          <w:lang w:val="uk-UA"/>
        </w:rPr>
        <w:t>керівниця гуртка «Історія України» КПНЗ «Донецька обласна Мала академія наук учнівської молоді»</w:t>
      </w:r>
      <w:r w:rsidR="00D95C50">
        <w:rPr>
          <w:lang w:val="uk-UA"/>
        </w:rPr>
        <w:t>.</w:t>
      </w:r>
    </w:p>
    <w:p w:rsidR="0075501E" w:rsidRPr="008C36FC" w:rsidRDefault="0075501E" w:rsidP="0075501E">
      <w:pPr>
        <w:pStyle w:val="a3"/>
        <w:ind w:firstLine="709"/>
        <w:rPr>
          <w:spacing w:val="-4"/>
          <w:lang w:val="uk-UA"/>
        </w:rPr>
      </w:pPr>
    </w:p>
    <w:p w:rsidR="0075501E" w:rsidRPr="003F6538" w:rsidRDefault="005E0E56" w:rsidP="005A48F1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Актуальність</w:t>
      </w:r>
      <w:r w:rsidR="00310450">
        <w:rPr>
          <w:rFonts w:ascii="Times New Roman" w:hAnsi="Times New Roman" w:cs="Times New Roman"/>
          <w:spacing w:val="-4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3F6538" w:rsidRP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>Курганний поховальний обряд є одним із ключових складових культурного феномену скіфського часу.  Великі земляні насипи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3F6538" w:rsidRP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>зберіга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>ють</w:t>
      </w:r>
      <w:r w:rsidR="003F6538" w:rsidRP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артефакти, що допомагають реконструювати побут і світогляд тогочасного населення України.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На околицях с. Пісочин Харківського р-ну Харківської обл., куди в 2022 р. переселилася родина авторки проєкту, знайдено могильник</w:t>
      </w:r>
      <w:r w:rsidR="003F6538" w:rsidRP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V – кінця IV ст. до н.е.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На сьогодні від цієї археологічної пам’ятки скіфського часу зберігся курган Хом’якова Могила, що став основним об’єктом розробленого екскурсійного маршруту (</w:t>
      </w:r>
      <w:hyperlink r:id="rId5" w:history="1">
        <w:r w:rsidR="003F6538" w:rsidRPr="00DE0B22">
          <w:rPr>
            <w:rStyle w:val="a8"/>
            <w:rFonts w:ascii="Times New Roman" w:hAnsi="Times New Roman" w:cs="Times New Roman"/>
            <w:spacing w:val="-4"/>
            <w:sz w:val="28"/>
            <w:szCs w:val="28"/>
            <w:lang w:val="uk-UA"/>
          </w:rPr>
          <w:t>https://youtu.be/ThudPNqmwis</w:t>
        </w:r>
      </w:hyperlink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). Матеріали розкопок Пісочинського могильника, що проводилися в 1978 – 1980 рр. експедицією Харківського історичного музею на чолі з В. Г. Бородуліним 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en-US"/>
        </w:rPr>
        <w:t>[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>6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en-US"/>
        </w:rPr>
        <w:t>]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, були опубліковані та інтерпретовані Л. І. Бабенком 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en-US"/>
        </w:rPr>
        <w:t>[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>1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en-US"/>
        </w:rPr>
        <w:t>]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>, використовувалися під час узагальненого аналізу скіфоподібних пам’яток лісостепової зони сіверськодоне</w:t>
      </w:r>
      <w:r w:rsid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>ц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ького регіону Д. С. Гречком 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en-US"/>
        </w:rPr>
        <w:t>[</w:t>
      </w:r>
      <w:r w:rsid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>3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en-US"/>
        </w:rPr>
        <w:t>]</w:t>
      </w:r>
      <w:r w:rsidR="003F6538">
        <w:rPr>
          <w:rFonts w:ascii="Times New Roman" w:hAnsi="Times New Roman" w:cs="Times New Roman"/>
          <w:spacing w:val="-4"/>
          <w:sz w:val="28"/>
          <w:szCs w:val="28"/>
          <w:lang w:val="uk-UA"/>
        </w:rPr>
        <w:t>.</w:t>
      </w:r>
    </w:p>
    <w:p w:rsidR="00D24438" w:rsidRPr="00B72489" w:rsidRDefault="00B72489" w:rsidP="00566B47">
      <w:pPr>
        <w:pStyle w:val="a3"/>
        <w:ind w:firstLine="709"/>
        <w:rPr>
          <w:bCs/>
          <w:spacing w:val="-4"/>
          <w:lang w:val="uk-UA"/>
        </w:rPr>
      </w:pPr>
      <w:r>
        <w:rPr>
          <w:spacing w:val="-4"/>
          <w:lang w:val="uk-UA"/>
        </w:rPr>
        <w:t xml:space="preserve">З урахуванням актуальності питання та стану його наукової визначеності </w:t>
      </w:r>
      <w:r w:rsidR="00D24438" w:rsidRPr="00A20ECE">
        <w:rPr>
          <w:spacing w:val="-4"/>
          <w:lang w:val="uk-UA"/>
        </w:rPr>
        <w:t xml:space="preserve">метою </w:t>
      </w:r>
      <w:r>
        <w:rPr>
          <w:spacing w:val="-4"/>
          <w:lang w:val="uk-UA"/>
        </w:rPr>
        <w:t xml:space="preserve">науково-дослідницького проєкту було здійснити </w:t>
      </w:r>
      <w:r w:rsidRPr="00B72489">
        <w:rPr>
          <w:spacing w:val="-4"/>
          <w:lang w:val="uk-UA"/>
        </w:rPr>
        <w:t>комплексний аналіз місця Пісочинського могильника в меморіалізації та трансляції культурних норм населення сіверськодонецького регіону скіфського часу</w:t>
      </w:r>
      <w:r>
        <w:rPr>
          <w:spacing w:val="-4"/>
          <w:lang w:val="uk-UA"/>
        </w:rPr>
        <w:t>.</w:t>
      </w:r>
      <w:r>
        <w:rPr>
          <w:bCs/>
          <w:spacing w:val="-4"/>
          <w:lang w:val="uk-UA"/>
        </w:rPr>
        <w:t xml:space="preserve"> Зазначимо, що одним із засобів меморіалізації є розробка віртуальної екскурсії. Досягнення мети потребувало розв’язання дослідницьких завдань: 1) </w:t>
      </w:r>
      <w:r w:rsidRPr="00B72489">
        <w:rPr>
          <w:bCs/>
          <w:spacing w:val="-4"/>
          <w:lang w:val="uk-UA"/>
        </w:rPr>
        <w:t>виокремлення основних етапів польових досліджень Пісочинського могильника та інтерпретації їх результатів; визначення характеру накопичення джерельної бази</w:t>
      </w:r>
      <w:r>
        <w:rPr>
          <w:bCs/>
          <w:spacing w:val="-4"/>
          <w:lang w:val="uk-UA"/>
        </w:rPr>
        <w:t xml:space="preserve">; 2) </w:t>
      </w:r>
      <w:r w:rsidRPr="00B72489">
        <w:rPr>
          <w:bCs/>
          <w:spacing w:val="-4"/>
          <w:lang w:val="uk-UA"/>
        </w:rPr>
        <w:t>з’ясування особливостей підкурганних поховальних споруд Пісочинського могильника</w:t>
      </w:r>
      <w:r>
        <w:rPr>
          <w:bCs/>
          <w:spacing w:val="-4"/>
          <w:lang w:val="uk-UA"/>
        </w:rPr>
        <w:t xml:space="preserve">; 3) </w:t>
      </w:r>
      <w:r w:rsidRPr="00B72489">
        <w:rPr>
          <w:bCs/>
          <w:spacing w:val="-4"/>
          <w:lang w:val="uk-UA"/>
        </w:rPr>
        <w:t>аналіз супровідного інвентарю в поховальному обряді відповідно до соціального статусу небіжчиків</w:t>
      </w:r>
      <w:r>
        <w:rPr>
          <w:bCs/>
          <w:spacing w:val="-4"/>
          <w:lang w:val="uk-UA"/>
        </w:rPr>
        <w:t>.</w:t>
      </w:r>
    </w:p>
    <w:p w:rsidR="00D24438" w:rsidRPr="00EB3D1E" w:rsidRDefault="006D6069" w:rsidP="00D24438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/>
          <w:spacing w:val="-4"/>
          <w:sz w:val="28"/>
          <w:szCs w:val="28"/>
          <w:lang w:val="uk-UA"/>
        </w:rPr>
        <w:lastRenderedPageBreak/>
        <w:t xml:space="preserve">На основі опрацювання наукової літератури </w:t>
      </w:r>
      <w:r w:rsidR="00B72489">
        <w:rPr>
          <w:rFonts w:ascii="Times New Roman" w:hAnsi="Times New Roman"/>
          <w:spacing w:val="-4"/>
          <w:sz w:val="28"/>
          <w:szCs w:val="28"/>
          <w:lang w:val="uk-UA"/>
        </w:rPr>
        <w:t>та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 візуальних джерел – фотографій </w:t>
      </w:r>
      <w:r w:rsidR="00B72489">
        <w:rPr>
          <w:rFonts w:ascii="Times New Roman" w:hAnsi="Times New Roman"/>
          <w:spacing w:val="-4"/>
          <w:sz w:val="28"/>
          <w:szCs w:val="28"/>
          <w:lang w:val="uk-UA"/>
        </w:rPr>
        <w:t>і малюнків, зроблених археологічної експедицією В. Г. Бородуліна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>, за допомогою загальнонаукових методів (</w:t>
      </w:r>
      <w:r w:rsidR="00B72489">
        <w:rPr>
          <w:rFonts w:ascii="Times New Roman" w:hAnsi="Times New Roman"/>
          <w:spacing w:val="-4"/>
          <w:sz w:val="28"/>
          <w:szCs w:val="28"/>
          <w:lang w:val="uk-UA"/>
        </w:rPr>
        <w:t>опис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; аналіз і синтез, </w:t>
      </w:r>
      <w:r w:rsidR="00B72489">
        <w:rPr>
          <w:rFonts w:ascii="Times New Roman" w:hAnsi="Times New Roman"/>
          <w:spacing w:val="-4"/>
          <w:sz w:val="28"/>
          <w:szCs w:val="28"/>
          <w:lang w:val="uk-UA"/>
        </w:rPr>
        <w:t>класифікація, узагальнення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) і спеціальних методів </w:t>
      </w:r>
      <w:r w:rsidR="00B72489">
        <w:rPr>
          <w:rFonts w:ascii="Times New Roman" w:hAnsi="Times New Roman"/>
          <w:spacing w:val="-4"/>
          <w:sz w:val="28"/>
          <w:szCs w:val="28"/>
          <w:lang w:val="uk-UA"/>
        </w:rPr>
        <w:t xml:space="preserve">(порівняльно-історичний, статистичний, кореляційний, соціальної реконструкції) </w:t>
      </w:r>
      <w:r w:rsidR="00EB3D1E">
        <w:rPr>
          <w:rFonts w:ascii="Times New Roman" w:hAnsi="Times New Roman"/>
          <w:spacing w:val="-4"/>
          <w:sz w:val="28"/>
          <w:szCs w:val="28"/>
          <w:lang w:val="uk-UA"/>
        </w:rPr>
        <w:t xml:space="preserve">було </w:t>
      </w:r>
      <w:r w:rsidR="003E6C8D">
        <w:rPr>
          <w:rFonts w:ascii="Times New Roman" w:hAnsi="Times New Roman"/>
          <w:spacing w:val="-4"/>
          <w:sz w:val="28"/>
          <w:szCs w:val="28"/>
          <w:lang w:val="uk-UA"/>
        </w:rPr>
        <w:t>підготовлено</w:t>
      </w:r>
      <w:r w:rsidR="00B72489">
        <w:rPr>
          <w:rFonts w:ascii="Times New Roman" w:hAnsi="Times New Roman"/>
          <w:spacing w:val="-4"/>
          <w:sz w:val="28"/>
          <w:szCs w:val="28"/>
          <w:lang w:val="uk-UA"/>
        </w:rPr>
        <w:t xml:space="preserve"> текст</w:t>
      </w:r>
      <w:r w:rsidR="003E6C8D">
        <w:rPr>
          <w:rFonts w:ascii="Times New Roman" w:hAnsi="Times New Roman"/>
          <w:spacing w:val="-4"/>
          <w:sz w:val="28"/>
          <w:szCs w:val="28"/>
          <w:lang w:val="uk-UA"/>
        </w:rPr>
        <w:t xml:space="preserve"> </w:t>
      </w:r>
      <w:r w:rsidR="00B72489">
        <w:rPr>
          <w:rFonts w:ascii="Times New Roman" w:hAnsi="Times New Roman"/>
          <w:spacing w:val="-4"/>
          <w:sz w:val="28"/>
          <w:szCs w:val="28"/>
          <w:lang w:val="uk-UA"/>
        </w:rPr>
        <w:t>віртуальної екскурсії та зроблено висновки:</w:t>
      </w:r>
    </w:p>
    <w:p w:rsidR="007B1552" w:rsidRDefault="00B72489" w:rsidP="00B72489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1.</w:t>
      </w:r>
      <w:r w:rsidRPr="00B72489">
        <w:t xml:space="preserve"> 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>У 1978-1980 рр.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>експедиці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єю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Харківського історичного музею на чолі з  В.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 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>Г.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 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Бородуліним 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було проведено охоронні розкопки 35 курганів 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en-US"/>
        </w:rPr>
        <w:t xml:space="preserve">V – 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кінця 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en-US"/>
        </w:rPr>
        <w:t xml:space="preserve">IV 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ст. до н. е.  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на околицях с.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 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Пісочин. 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Ч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ерез порушення методики досліджень курганів за рішенням 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ІА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АН УРСР розкопки були зупинені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та більше не відновлювалися </w:t>
      </w:r>
      <w:r w:rsidR="00AA7119"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[1, с.5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–6</w:t>
      </w:r>
      <w:r w:rsidR="00AA7119"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]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. 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До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>цільним є здійснити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з використанням сучасних методик дослідження</w:t>
      </w:r>
      <w:r w:rsidRPr="00B7248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розкопки кургану № 36 (Хом’якова Могила</w:t>
      </w:r>
      <w:r w:rsid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), що були перервані через поломку землерийної техніки.</w:t>
      </w:r>
    </w:p>
    <w:p w:rsidR="00AA7119" w:rsidRDefault="00AA7119" w:rsidP="00B72489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2. 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Підкурганні поховальні споруди Пісочинського могильника можна поділити на три групи:  1) ґрунтові ями з канавкою по периметру [1, с.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239, 256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]; 2) ґрунтові ями з опорними стовпами [3, с. 45]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; 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3)ґрунтові ями з опорними стовпами та дерев’яним облицюванням стін і канавкою по периметру [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1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, с. 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268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]. Будівництво поховальних споруд цих типів вимагало різних витрат робочого часу – від меншого (1) до більшого (3). Це свідчить про різницю в соціальному статусі небіжчиків. Водночас слід враховувати зауваження Д. С. Гречка про можливі втрати поховальних споруд унаслідок порушень методики розкопок.</w:t>
      </w:r>
    </w:p>
    <w:p w:rsidR="00AA7119" w:rsidRDefault="00AA7119" w:rsidP="00B72489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3. 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Аналіз супровідного інвентарю здійснено на матеріалах курганів №№ 6 (зброя та захисний обладунок із бронзи та заліза)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[1, с.24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1 – 24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3], № 8 (золоті пластини, що, ймовірно, були елементами парадного головного убору)</w:t>
      </w:r>
      <w:r w:rsid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0D7F60"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[1, с.2</w:t>
      </w:r>
      <w:r w:rsid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0,</w:t>
      </w:r>
      <w:r w:rsid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24</w:t>
      </w:r>
      <w:r w:rsid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7</w:t>
      </w:r>
      <w:r w:rsidR="000D7F60"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]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. Кореляція з поховальними спорудами (наявність стовпових ям у похованнях вказаних курганів) доводить високий соціальний статус небіжчиків.  Схожість форм наконечників стріл із скіфською зброєю</w:t>
      </w:r>
      <w:r w:rsidR="000D7F60">
        <w:rPr>
          <w:rFonts w:ascii="Times New Roman" w:hAnsi="Times New Roman" w:cs="Times New Roman"/>
          <w:spacing w:val="-4"/>
          <w:sz w:val="28"/>
          <w:szCs w:val="28"/>
          <w:lang w:val="en-US"/>
        </w:rPr>
        <w:t xml:space="preserve"> </w:t>
      </w:r>
      <w:r w:rsidR="000D7F60" w:rsidRPr="000D7F60">
        <w:rPr>
          <w:rFonts w:ascii="Times New Roman" w:hAnsi="Times New Roman" w:cs="Times New Roman"/>
          <w:spacing w:val="-4"/>
          <w:sz w:val="28"/>
          <w:szCs w:val="28"/>
          <w:lang w:val="en-US"/>
        </w:rPr>
        <w:t>[</w:t>
      </w:r>
      <w:r w:rsidR="000D7F60" w:rsidRPr="000D7F60">
        <w:rPr>
          <w:rFonts w:ascii="Times New Roman" w:hAnsi="Times New Roman" w:cs="Times New Roman"/>
          <w:spacing w:val="-4"/>
          <w:sz w:val="28"/>
          <w:szCs w:val="28"/>
        </w:rPr>
        <w:t>1, с.242</w:t>
      </w:r>
      <w:r w:rsidR="000D7F60" w:rsidRPr="000D7F60">
        <w:rPr>
          <w:rFonts w:ascii="Times New Roman" w:hAnsi="Times New Roman" w:cs="Times New Roman"/>
          <w:spacing w:val="-4"/>
          <w:sz w:val="28"/>
          <w:szCs w:val="28"/>
          <w:lang w:val="en-US"/>
        </w:rPr>
        <w:t>]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, золотих пластин – з  куль-обинською діадемою</w:t>
      </w:r>
      <w:r w:rsid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0D7F60">
        <w:rPr>
          <w:rFonts w:ascii="Times New Roman" w:hAnsi="Times New Roman" w:cs="Times New Roman"/>
          <w:spacing w:val="-4"/>
          <w:sz w:val="28"/>
          <w:szCs w:val="28"/>
          <w:lang w:val="en-US"/>
        </w:rPr>
        <w:t>[2]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свідчить про культурний вплив на населення сіверськодонецького регіону Великої Скіфії та Давньої Греції. Проте незначна кількість поховань скіфського часу на правобережжі Сіверського Дінця</w:t>
      </w:r>
      <w:r w:rsid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0D7F60"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[8, с. 37-38]</w:t>
      </w:r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, тобто існування </w:t>
      </w:r>
      <w:bookmarkStart w:id="0" w:name="_GoBack"/>
      <w:bookmarkEnd w:id="0"/>
      <w:r w:rsidRPr="00AA7119">
        <w:rPr>
          <w:rFonts w:ascii="Times New Roman" w:hAnsi="Times New Roman" w:cs="Times New Roman"/>
          <w:spacing w:val="-4"/>
          <w:sz w:val="28"/>
          <w:szCs w:val="28"/>
          <w:lang w:val="uk-UA"/>
        </w:rPr>
        <w:t>«буферної» зони населенням  лісостепу й скіфськими кочовищами Приазов’я, є аргументом на користь гіпотези науковців про існування у вказаному регіоні незалежного від скіфів племінного утворення.</w:t>
      </w:r>
    </w:p>
    <w:p w:rsidR="00A21FBA" w:rsidRDefault="00A21FBA" w:rsidP="000C5CDB">
      <w:pPr>
        <w:spacing w:after="0" w:line="360" w:lineRule="auto"/>
        <w:ind w:firstLine="709"/>
        <w:jc w:val="center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lastRenderedPageBreak/>
        <w:t>Список використаних джерел</w:t>
      </w:r>
    </w:p>
    <w:p w:rsidR="00A21FBA" w:rsidRDefault="00A21FBA" w:rsidP="005C3DF4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</w:p>
    <w:p w:rsidR="000D7F60" w:rsidRPr="000D7F60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1.Бабенко Л.И. Песочинский курганный могильник скифского времени: монография. Харьков: ИД Райдер, 2005. 284 с. </w:t>
      </w:r>
    </w:p>
    <w:p w:rsidR="000D7F60" w:rsidRPr="000D7F60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2.Бабенко Л. Приховані зайці золотої діадеми. Мистецька стилістика, техніка та змістовність за доби раннього заліза Євразії / ред.: Ст. Задніков, І.Шрамко, В. Панковський. Харків, Котельва: ХНУ імені В. Н. Каразіна; ІКЗ «Більськ»; Майдан, 2023. С. 147–169.</w:t>
      </w:r>
    </w:p>
    <w:p w:rsidR="000D7F60" w:rsidRPr="000D7F60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3.Гречко Д. С. Населення Скіфського часу на Сіверському Дінці : монографія / НАН України, Ін-т археології. Київ, 2010.  283 с.</w:t>
      </w:r>
    </w:p>
    <w:p w:rsidR="000D7F60" w:rsidRPr="000D7F60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4.Ильинская В.А., Тереножкин А.И. Скифия VII-IV вв. до н.э Киев: Наукова Думка, 1983. 380 с.</w:t>
      </w:r>
    </w:p>
    <w:p w:rsidR="000D7F60" w:rsidRPr="000D7F60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5.Люботинское городище: збірник. Харьков: «Регион-Информ». 1998. 184 с.</w:t>
      </w:r>
    </w:p>
    <w:p w:rsidR="000D7F60" w:rsidRPr="000D7F60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6.Можейко І. Які таємниці зберігали кургани під Харковом // Слобідський край. 2019. 20 липн. URL: https://www.slk.kh.ua/news/khronograf/yaki-tayemnici-zberigali-kurgani-pid-xarkovom.html (дата звернення: 14.04.2025).</w:t>
      </w:r>
    </w:p>
    <w:p w:rsidR="000D7F60" w:rsidRPr="000D7F60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7.Моруженко А. А. Историко-культурная общность лесостепных племен междуречья Днепра и Дона в скифское время. Советская археология. 1989. №4. С. 25–40.</w:t>
      </w:r>
    </w:p>
    <w:p w:rsidR="000D7F60" w:rsidRPr="000D7F60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8. Татаринов С.И., Федяев С.В., Федотов С.А. Археология Бахмутского края. Артемовск, 2003.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64 с.</w:t>
      </w:r>
    </w:p>
    <w:p w:rsidR="00A21FBA" w:rsidRPr="0075501E" w:rsidRDefault="000D7F60" w:rsidP="000D7F60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0D7F60">
        <w:rPr>
          <w:rFonts w:ascii="Times New Roman" w:hAnsi="Times New Roman" w:cs="Times New Roman"/>
          <w:spacing w:val="-4"/>
          <w:sz w:val="28"/>
          <w:szCs w:val="28"/>
          <w:lang w:val="uk-UA"/>
        </w:rPr>
        <w:t>9. Фиалко Е. Е. Зеркала в обрядах скифов. Боспорские исследования.  2011.  Вып. XXV. С. 79-94.</w:t>
      </w:r>
    </w:p>
    <w:sectPr w:rsidR="00A21FBA" w:rsidRPr="0075501E" w:rsidSect="0075501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055262"/>
    <w:multiLevelType w:val="hybridMultilevel"/>
    <w:tmpl w:val="8FB0C194"/>
    <w:lvl w:ilvl="0" w:tplc="E46234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4ABBD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F0BF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CA462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60A3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8200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F8F5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F469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3EC5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01E"/>
    <w:rsid w:val="000C5CDB"/>
    <w:rsid w:val="000D7F60"/>
    <w:rsid w:val="003023F3"/>
    <w:rsid w:val="00310450"/>
    <w:rsid w:val="00391E64"/>
    <w:rsid w:val="003E6C8D"/>
    <w:rsid w:val="003F6538"/>
    <w:rsid w:val="004C7818"/>
    <w:rsid w:val="00502B90"/>
    <w:rsid w:val="00566B47"/>
    <w:rsid w:val="005A48F1"/>
    <w:rsid w:val="005C3DF4"/>
    <w:rsid w:val="005D152A"/>
    <w:rsid w:val="005E0E56"/>
    <w:rsid w:val="006D6069"/>
    <w:rsid w:val="007261D6"/>
    <w:rsid w:val="0075501E"/>
    <w:rsid w:val="007B1552"/>
    <w:rsid w:val="007D54BA"/>
    <w:rsid w:val="00831C9F"/>
    <w:rsid w:val="00A21FBA"/>
    <w:rsid w:val="00A54082"/>
    <w:rsid w:val="00AA7119"/>
    <w:rsid w:val="00B61853"/>
    <w:rsid w:val="00B72489"/>
    <w:rsid w:val="00BB35CD"/>
    <w:rsid w:val="00BC16F4"/>
    <w:rsid w:val="00D24438"/>
    <w:rsid w:val="00D95C50"/>
    <w:rsid w:val="00E11A49"/>
    <w:rsid w:val="00EB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33BBB"/>
  <w15:chartTrackingRefBased/>
  <w15:docId w15:val="{D5BC7345-CF13-47E2-A0E5-A656375C3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01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ссертация"/>
    <w:uiPriority w:val="99"/>
    <w:rsid w:val="0075501E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Normal (Web)"/>
    <w:basedOn w:val="a"/>
    <w:uiPriority w:val="99"/>
    <w:semiHidden/>
    <w:unhideWhenUsed/>
    <w:rsid w:val="00755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24438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66B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ій колонтитул Знак"/>
    <w:basedOn w:val="a0"/>
    <w:link w:val="a6"/>
    <w:uiPriority w:val="99"/>
    <w:rsid w:val="00566B47"/>
  </w:style>
  <w:style w:type="character" w:styleId="a8">
    <w:name w:val="Hyperlink"/>
    <w:basedOn w:val="a0"/>
    <w:uiPriority w:val="99"/>
    <w:unhideWhenUsed/>
    <w:rsid w:val="00A5408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E6C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0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07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34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308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9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9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2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ThudPNqmw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3814</Words>
  <Characters>2175</Characters>
  <Application>Microsoft Office Word</Application>
  <DocSecurity>0</DocSecurity>
  <Lines>18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3</cp:revision>
  <dcterms:created xsi:type="dcterms:W3CDTF">2025-04-23T11:31:00Z</dcterms:created>
  <dcterms:modified xsi:type="dcterms:W3CDTF">2025-04-23T12:10:00Z</dcterms:modified>
</cp:coreProperties>
</file>