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A0" w:rsidRDefault="00B15DD7" w:rsidP="00B15DD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5DD7">
        <w:rPr>
          <w:rFonts w:ascii="Times New Roman" w:hAnsi="Times New Roman"/>
          <w:sz w:val="28"/>
          <w:szCs w:val="28"/>
          <w:lang w:val="uk-UA"/>
        </w:rPr>
        <w:t>КОЛЬОРОВИЙ ПОРОШОК</w:t>
      </w:r>
    </w:p>
    <w:p w:rsidR="00D276A0" w:rsidRPr="00453A57" w:rsidRDefault="00D276A0" w:rsidP="00B15DD7">
      <w:pPr>
        <w:tabs>
          <w:tab w:val="left" w:pos="4253"/>
        </w:tabs>
        <w:spacing w:before="24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B15DD7" w:rsidRPr="00B15DD7">
        <w:rPr>
          <w:rFonts w:ascii="Times New Roman" w:hAnsi="Times New Roman"/>
          <w:sz w:val="28"/>
          <w:szCs w:val="28"/>
          <w:lang w:val="uk-UA"/>
        </w:rPr>
        <w:t>Хижняк</w:t>
      </w:r>
      <w:proofErr w:type="spellEnd"/>
      <w:r w:rsidR="00B15DD7" w:rsidRPr="00B15DD7">
        <w:rPr>
          <w:rFonts w:ascii="Times New Roman" w:hAnsi="Times New Roman"/>
          <w:sz w:val="28"/>
          <w:szCs w:val="28"/>
          <w:lang w:val="uk-UA"/>
        </w:rPr>
        <w:t xml:space="preserve"> Микола Сергійович</w:t>
      </w:r>
      <w:r w:rsidR="005F5C79">
        <w:rPr>
          <w:rFonts w:ascii="Times New Roman" w:hAnsi="Times New Roman"/>
          <w:sz w:val="28"/>
          <w:szCs w:val="28"/>
          <w:lang w:val="uk-UA"/>
        </w:rPr>
        <w:t>,</w:t>
      </w:r>
    </w:p>
    <w:p w:rsidR="00D276A0" w:rsidRDefault="00D276A0" w:rsidP="00B15DD7">
      <w:pPr>
        <w:tabs>
          <w:tab w:val="left" w:pos="4253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уч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ень</w:t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15DD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класу Ка</w:t>
      </w:r>
      <w:bookmarkStart w:id="0" w:name="_GoBack"/>
      <w:bookmarkEnd w:id="0"/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м’янець-Подільського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ліцею №1 Кам’янець-Подільської</w:t>
      </w:r>
    </w:p>
    <w:p w:rsidR="00D276A0" w:rsidRDefault="00D276A0" w:rsidP="00B15DD7">
      <w:pPr>
        <w:tabs>
          <w:tab w:val="left" w:pos="4253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Хмельницької області</w:t>
      </w:r>
    </w:p>
    <w:p w:rsidR="000E09C8" w:rsidRPr="005F5C79" w:rsidRDefault="000E09C8" w:rsidP="00B15DD7">
      <w:pPr>
        <w:tabs>
          <w:tab w:val="left" w:pos="4253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15DD7" w:rsidRPr="00B15DD7">
        <w:rPr>
          <w:rFonts w:ascii="Times New Roman" w:hAnsi="Times New Roman"/>
          <w:sz w:val="28"/>
          <w:szCs w:val="28"/>
          <w:lang w:val="uk-UA"/>
        </w:rPr>
        <w:t>Бурячок Марія Валентинівна</w:t>
      </w:r>
      <w:r w:rsidR="005F5C79">
        <w:rPr>
          <w:rFonts w:ascii="Times New Roman" w:hAnsi="Times New Roman"/>
          <w:sz w:val="28"/>
          <w:szCs w:val="28"/>
          <w:lang w:val="uk-UA"/>
        </w:rPr>
        <w:t>,</w:t>
      </w:r>
    </w:p>
    <w:p w:rsidR="000E09C8" w:rsidRDefault="000E09C8" w:rsidP="00B15DD7">
      <w:pPr>
        <w:tabs>
          <w:tab w:val="left" w:pos="4253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уч</w:t>
      </w:r>
      <w:r w:rsidR="00B15DD7">
        <w:rPr>
          <w:rFonts w:ascii="Times New Roman" w:eastAsia="Times New Roman" w:hAnsi="Times New Roman"/>
          <w:sz w:val="28"/>
          <w:szCs w:val="28"/>
          <w:lang w:val="uk-UA" w:eastAsia="ru-RU"/>
        </w:rPr>
        <w:t>ениця</w:t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15DD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класу Кам’янець-Подільського</w:t>
      </w:r>
    </w:p>
    <w:p w:rsidR="000E09C8" w:rsidRDefault="000E09C8" w:rsidP="00B15DD7">
      <w:pPr>
        <w:tabs>
          <w:tab w:val="left" w:pos="4253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ліцею №1 Кам’янець-Подільської</w:t>
      </w:r>
    </w:p>
    <w:p w:rsidR="000E09C8" w:rsidRPr="00453A57" w:rsidRDefault="000E09C8" w:rsidP="00B15DD7">
      <w:pPr>
        <w:tabs>
          <w:tab w:val="left" w:pos="4253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Хмельницької області</w:t>
      </w:r>
    </w:p>
    <w:p w:rsidR="00D276A0" w:rsidRDefault="00D276A0" w:rsidP="00B15DD7">
      <w:pPr>
        <w:tabs>
          <w:tab w:val="left" w:pos="4253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Педагогічний керівник:</w:t>
      </w:r>
    </w:p>
    <w:p w:rsidR="00D276A0" w:rsidRPr="00453A57" w:rsidRDefault="00D276A0" w:rsidP="00B15DD7">
      <w:pPr>
        <w:tabs>
          <w:tab w:val="left" w:pos="4253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53A57">
        <w:rPr>
          <w:rFonts w:ascii="Times New Roman" w:eastAsia="Times New Roman" w:hAnsi="Times New Roman"/>
          <w:sz w:val="28"/>
          <w:szCs w:val="28"/>
          <w:lang w:val="uk-UA" w:eastAsia="ru-RU"/>
        </w:rPr>
        <w:t>вчитель фізики Теличко Іван Іванович</w:t>
      </w:r>
    </w:p>
    <w:p w:rsidR="005F5C79" w:rsidRPr="005F5C79" w:rsidRDefault="00B15DD7" w:rsidP="00B15DD7">
      <w:pPr>
        <w:spacing w:before="24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DD7">
        <w:rPr>
          <w:rFonts w:ascii="Times New Roman" w:eastAsiaTheme="minorHAnsi" w:hAnsi="Times New Roman"/>
          <w:sz w:val="28"/>
          <w:szCs w:val="28"/>
          <w:lang w:val="uk-UA"/>
        </w:rPr>
        <w:t>Мета проєкту полягає в вивченні та характеристиці розсіювальних властивостей матеріалів за допомогою ефекту Релея.</w:t>
      </w:r>
    </w:p>
    <w:p w:rsidR="00B15DD7" w:rsidRPr="00B15DD7" w:rsidRDefault="00B15DD7" w:rsidP="00B15DD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DD7">
        <w:rPr>
          <w:rFonts w:ascii="Times New Roman" w:eastAsiaTheme="minorHAnsi" w:hAnsi="Times New Roman"/>
          <w:sz w:val="28"/>
          <w:szCs w:val="28"/>
          <w:lang w:val="uk-UA"/>
        </w:rPr>
        <w:t>Падаючи на освітлюваний предмет, хвиля зазвичай розділяється на три частини: одна частина відбивається від поверхні предмета і розсіюється в просторі, інша частина поглинається речовиною, і третя проходить крізь неї.</w:t>
      </w:r>
    </w:p>
    <w:p w:rsidR="00B15DD7" w:rsidRPr="00B15DD7" w:rsidRDefault="00B15DD7" w:rsidP="00B15DD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DD7">
        <w:rPr>
          <w:rFonts w:ascii="Times New Roman" w:eastAsiaTheme="minorHAnsi" w:hAnsi="Times New Roman"/>
          <w:sz w:val="28"/>
          <w:szCs w:val="28"/>
          <w:lang w:val="uk-UA"/>
        </w:rPr>
        <w:t xml:space="preserve">Якщо відбитий і той, що пройшов, компоненти відсутні, тобто речовина поглинає впавши на нього випромінювання, то очі спостерігача нічого не </w:t>
      </w:r>
      <w:proofErr w:type="spellStart"/>
      <w:r w:rsidRPr="00B15DD7">
        <w:rPr>
          <w:rFonts w:ascii="Times New Roman" w:eastAsiaTheme="minorHAnsi" w:hAnsi="Times New Roman"/>
          <w:sz w:val="28"/>
          <w:szCs w:val="28"/>
          <w:lang w:val="uk-UA"/>
        </w:rPr>
        <w:t>сприймуть</w:t>
      </w:r>
      <w:proofErr w:type="spellEnd"/>
      <w:r w:rsidRPr="00B15DD7">
        <w:rPr>
          <w:rFonts w:ascii="Times New Roman" w:eastAsiaTheme="minorHAnsi" w:hAnsi="Times New Roman"/>
          <w:sz w:val="28"/>
          <w:szCs w:val="28"/>
          <w:lang w:val="uk-UA"/>
        </w:rPr>
        <w:t xml:space="preserve"> і речовина буде виглядати чорною. При відсутності того компонента, що пройшов вона буде непрозора. Ясно, що в цьому випадку забарвлення речовини визначається балансом між поглинанням і відбиттям падаючих на нього променів. Скажімо, синя волошка поглинає червоні і жовті промені, а сині відбиває - цим і обумовлений її колір. Квіти соняшнику жовті, це означає, що з усього діапазону хвиль вони відбивають в основному хвилі жовтої частини спектра, а інші поглинають.</w:t>
      </w:r>
    </w:p>
    <w:p w:rsidR="00B15DD7" w:rsidRPr="00B15DD7" w:rsidRDefault="00B15DD7" w:rsidP="00B15DD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DD7">
        <w:rPr>
          <w:rFonts w:ascii="Times New Roman" w:eastAsiaTheme="minorHAnsi" w:hAnsi="Times New Roman"/>
          <w:sz w:val="28"/>
          <w:szCs w:val="28"/>
          <w:lang w:val="uk-UA"/>
        </w:rPr>
        <w:t xml:space="preserve">Існує відмінність принципового характеру між механізмами виникнення кольору у металів, неорганічних сполуках і в органічних молекулах. Хоча у всіх випадках колір виникає в результаті взаємодії квантів світла з електронами в молекулах речовина, але так як стан електронів в металах і неметалах, органічних і неорганічних сполуках різний, то і механізм появи кольору неоднаковий. У металів для кольору важлива правильність кристалічної решітки і можливість електронів відносно вільно рухатися по всьому шматок металу. Колір більшості неорганічні речовин обумовлене </w:t>
      </w:r>
      <w:r w:rsidRPr="00B15DD7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електронними переходами і відповідно перенесенням заряду від атома одного елемента до атома іншого. Основну, вирішальну роль відіграє в цьому випадку валентний стан елемента, його зовнішня електронна оболонка.</w:t>
      </w:r>
    </w:p>
    <w:p w:rsidR="00B15DD7" w:rsidRPr="00B15DD7" w:rsidRDefault="00B15DD7" w:rsidP="00B15DD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DD7">
        <w:rPr>
          <w:rFonts w:ascii="Times New Roman" w:eastAsiaTheme="minorHAnsi" w:hAnsi="Times New Roman"/>
          <w:sz w:val="28"/>
          <w:szCs w:val="28"/>
          <w:lang w:val="uk-UA"/>
        </w:rPr>
        <w:t>Далеко не всі органічні речовини мають колір. Однак у тих речовин, які мають забарвлення, в структурі молекул є принципова схожість. Всі вони, як правило, великі молекули, що складаються з десятків атомів. Для виникнення кольору мають значення не електрони окремих атомів, а стан системи електронів, що охоплює всю молекулу цілком. Рухливість такої системи, її здатність легко змінювати свій стан під невеликим впливом світлових квантів і обумовлює вибіркове поглинання певних хвиль з набору, що становить видиме світло.</w:t>
      </w:r>
    </w:p>
    <w:p w:rsidR="00B15DD7" w:rsidRPr="00B15DD7" w:rsidRDefault="00B15DD7" w:rsidP="00B15DD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DD7">
        <w:rPr>
          <w:rFonts w:ascii="Times New Roman" w:eastAsiaTheme="minorHAnsi" w:hAnsi="Times New Roman"/>
          <w:sz w:val="28"/>
          <w:szCs w:val="28"/>
          <w:lang w:val="uk-UA"/>
        </w:rPr>
        <w:t xml:space="preserve">При </w:t>
      </w:r>
      <w:proofErr w:type="spellStart"/>
      <w:r w:rsidRPr="00B15DD7">
        <w:rPr>
          <w:rFonts w:ascii="Times New Roman" w:eastAsiaTheme="minorHAnsi" w:hAnsi="Times New Roman"/>
          <w:sz w:val="28"/>
          <w:szCs w:val="28"/>
          <w:lang w:val="uk-UA"/>
        </w:rPr>
        <w:t>помолі</w:t>
      </w:r>
      <w:proofErr w:type="spellEnd"/>
      <w:r w:rsidRPr="00B15DD7">
        <w:rPr>
          <w:rFonts w:ascii="Times New Roman" w:eastAsiaTheme="minorHAnsi" w:hAnsi="Times New Roman"/>
          <w:sz w:val="28"/>
          <w:szCs w:val="28"/>
          <w:lang w:val="uk-UA"/>
        </w:rPr>
        <w:t xml:space="preserve"> речовини розміри крупинок стають маленькі. Цим самим їх пропускна спроможність збільшується. За рахунок цього колір речовини частково змінюється - стає світліший. Більша частина спектру пропускається.</w:t>
      </w:r>
    </w:p>
    <w:p w:rsidR="00B15DD7" w:rsidRDefault="00B15DD7" w:rsidP="00B15DD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DD7">
        <w:rPr>
          <w:rFonts w:ascii="Times New Roman" w:eastAsiaTheme="minorHAnsi" w:hAnsi="Times New Roman"/>
          <w:sz w:val="28"/>
          <w:szCs w:val="28"/>
          <w:lang w:val="uk-UA"/>
        </w:rPr>
        <w:t xml:space="preserve">За </w:t>
      </w:r>
      <w:proofErr w:type="spellStart"/>
      <w:r w:rsidRPr="00B15DD7">
        <w:rPr>
          <w:rFonts w:ascii="Times New Roman" w:eastAsiaTheme="minorHAnsi" w:hAnsi="Times New Roman"/>
          <w:sz w:val="28"/>
          <w:szCs w:val="28"/>
          <w:lang w:val="uk-UA"/>
        </w:rPr>
        <w:t>Релеєвським</w:t>
      </w:r>
      <w:proofErr w:type="spellEnd"/>
      <w:r w:rsidRPr="00B15DD7">
        <w:rPr>
          <w:rFonts w:ascii="Times New Roman" w:eastAsiaTheme="minorHAnsi" w:hAnsi="Times New Roman"/>
          <w:sz w:val="28"/>
          <w:szCs w:val="28"/>
          <w:lang w:val="uk-UA"/>
        </w:rPr>
        <w:t xml:space="preserve"> розсіювання, розсіювання світла без зміни довжини хвилі (зване також пружним розсіюванням) на частинках, або інших об’єктах, коли частота розсіюється світла істотно менше власної частоти розсіювального об’єкта або системи. Еквівалентна формулювання - розсіювання світла на об’єктах, розміри яких менше його довжини хвилі.</w:t>
      </w:r>
    </w:p>
    <w:p w:rsidR="00B15DD7" w:rsidRDefault="00B15DD7" w:rsidP="00B15DD7">
      <w:pPr>
        <w:tabs>
          <w:tab w:val="left" w:pos="2977"/>
          <w:tab w:val="left" w:pos="8931"/>
        </w:tabs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I=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N(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α)</m:t>
        </m:r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  <w:lang w:val="uk-UA"/>
        </w:rPr>
        <w:t>(1)</w:t>
      </w:r>
    </w:p>
    <w:p w:rsidR="00B15DD7" w:rsidRPr="00B15DD7" w:rsidRDefault="00B15DD7" w:rsidP="00B15DD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D7">
        <w:rPr>
          <w:rFonts w:ascii="Times New Roman" w:hAnsi="Times New Roman" w:cs="Times New Roman"/>
          <w:sz w:val="28"/>
          <w:szCs w:val="28"/>
        </w:rPr>
        <w:t xml:space="preserve">де </w:t>
      </w:r>
      <w:r w:rsidRPr="00B15DD7">
        <w:rPr>
          <w:rFonts w:ascii="Times New Roman" w:hAnsi="Times New Roman" w:cs="Times New Roman"/>
          <w:i/>
          <w:sz w:val="28"/>
          <w:szCs w:val="28"/>
        </w:rPr>
        <w:t>N</w:t>
      </w:r>
      <w:r w:rsidRPr="00B15DD7">
        <w:rPr>
          <w:rFonts w:ascii="Times New Roman" w:hAnsi="Times New Roman" w:cs="Times New Roman"/>
          <w:sz w:val="28"/>
          <w:szCs w:val="28"/>
        </w:rPr>
        <w:t xml:space="preserve"> - число частинок в розсіювальному об’ємі, </w:t>
      </w:r>
      <w:r w:rsidRPr="00B15DD7">
        <w:rPr>
          <w:rFonts w:ascii="Times New Roman" w:hAnsi="Times New Roman" w:cs="Times New Roman"/>
          <w:i/>
          <w:sz w:val="28"/>
          <w:szCs w:val="28"/>
        </w:rPr>
        <w:t>V'</w:t>
      </w:r>
      <w:r w:rsidRPr="00B15DD7">
        <w:rPr>
          <w:rFonts w:ascii="Times New Roman" w:hAnsi="Times New Roman" w:cs="Times New Roman"/>
          <w:sz w:val="28"/>
          <w:szCs w:val="28"/>
        </w:rPr>
        <w:t xml:space="preserve"> і </w:t>
      </w:r>
      <w:r w:rsidRPr="00B15DD7">
        <w:rPr>
          <w:rFonts w:ascii="Times New Roman" w:hAnsi="Times New Roman" w:cs="Times New Roman"/>
          <w:i/>
          <w:sz w:val="28"/>
          <w:szCs w:val="28"/>
        </w:rPr>
        <w:t>ε</w:t>
      </w:r>
      <w:r w:rsidRPr="00B15DD7">
        <w:rPr>
          <w:rFonts w:ascii="Times New Roman" w:hAnsi="Times New Roman" w:cs="Times New Roman"/>
          <w:sz w:val="28"/>
          <w:szCs w:val="28"/>
        </w:rPr>
        <w:t xml:space="preserve"> – об’єм і діелектрична проникність частинок, </w:t>
      </w:r>
      <w:r w:rsidRPr="00B15DD7">
        <w:rPr>
          <w:rFonts w:ascii="Times New Roman" w:hAnsi="Times New Roman" w:cs="Times New Roman"/>
          <w:i/>
          <w:sz w:val="28"/>
          <w:szCs w:val="28"/>
        </w:rPr>
        <w:t>ε</w:t>
      </w:r>
      <w:r w:rsidRPr="00B15DD7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B15DD7">
        <w:rPr>
          <w:rFonts w:ascii="Times New Roman" w:hAnsi="Times New Roman" w:cs="Times New Roman"/>
          <w:sz w:val="28"/>
          <w:szCs w:val="28"/>
        </w:rPr>
        <w:t xml:space="preserve"> - діелектрична проникність середовища,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15DD7">
        <w:rPr>
          <w:rFonts w:ascii="Times New Roman" w:hAnsi="Times New Roman" w:cs="Times New Roman"/>
          <w:sz w:val="28"/>
          <w:szCs w:val="28"/>
        </w:rPr>
        <w:t xml:space="preserve"> - кут розсіяння, </w:t>
      </w:r>
      <w:r w:rsidRPr="00B15DD7">
        <w:rPr>
          <w:rFonts w:ascii="Times New Roman" w:hAnsi="Times New Roman" w:cs="Times New Roman"/>
          <w:i/>
          <w:sz w:val="28"/>
          <w:szCs w:val="28"/>
        </w:rPr>
        <w:t>I</w:t>
      </w:r>
      <w:r w:rsidRPr="00B15D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15DD7">
        <w:rPr>
          <w:rFonts w:ascii="Times New Roman" w:hAnsi="Times New Roman" w:cs="Times New Roman"/>
          <w:sz w:val="28"/>
          <w:szCs w:val="28"/>
        </w:rPr>
        <w:t xml:space="preserve"> - інтенсивність світла, що падає, </w:t>
      </w:r>
      <w:r w:rsidRPr="00B15DD7">
        <w:rPr>
          <w:rFonts w:ascii="Times New Roman" w:hAnsi="Times New Roman" w:cs="Times New Roman"/>
          <w:i/>
          <w:sz w:val="28"/>
          <w:szCs w:val="28"/>
        </w:rPr>
        <w:t>L</w:t>
      </w:r>
      <w:r w:rsidRPr="00B15DD7">
        <w:rPr>
          <w:rFonts w:ascii="Times New Roman" w:hAnsi="Times New Roman" w:cs="Times New Roman"/>
          <w:sz w:val="28"/>
          <w:szCs w:val="28"/>
        </w:rPr>
        <w:t xml:space="preserve"> - відстань від розсіювального об’єму до точки спостереження.</w:t>
      </w:r>
    </w:p>
    <w:p w:rsidR="00B15DD7" w:rsidRDefault="00B15DD7" w:rsidP="00B15DD7">
      <w:pPr>
        <w:tabs>
          <w:tab w:val="left" w:pos="2977"/>
          <w:tab w:val="left" w:pos="893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5DD7">
        <w:rPr>
          <w:rFonts w:ascii="Times New Roman" w:hAnsi="Times New Roman"/>
          <w:sz w:val="28"/>
          <w:szCs w:val="28"/>
          <w:lang w:val="uk-UA"/>
        </w:rPr>
        <w:t>Формула Релея описує наступні експериментально відкриті до її виведення закономірності. Інтенсивність розсіяного світла виявляється обернено пропорційній четвертій мірі довжини хвилі, що знаходиться відповідно до вимірів і може пояснити блакитний колір неба.</w:t>
      </w:r>
    </w:p>
    <w:p w:rsidR="00B15DD7" w:rsidRDefault="00B15DD7" w:rsidP="00B15DD7">
      <w:pPr>
        <w:tabs>
          <w:tab w:val="left" w:pos="4678"/>
          <w:tab w:val="left" w:pos="8931"/>
        </w:tabs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I~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  <w:lang w:val="uk-UA"/>
        </w:rPr>
        <w:t>(2)</w:t>
      </w:r>
    </w:p>
    <w:p w:rsidR="00B15DD7" w:rsidRPr="00B15DD7" w:rsidRDefault="00B15DD7" w:rsidP="00B15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15DD7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Закон носить назву закон Релея. З формули (1) витікає також, що інтенсивність розсіяного світла пропорційна квадрату об’єму розсіювальної частинки. Формула Релея містить множник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 w:eastAsia="uk-U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uk-UA" w:eastAsia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uk-UA" w:eastAsia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uk-UA" w:eastAsia="uk-UA"/>
                      </w:rPr>
                      <m:t>ε-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val="uk-UA" w:eastAsia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uk-UA" w:eastAsia="uk-UA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uk-UA" w:eastAsia="uk-UA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uk-UA" w:eastAsia="uk-UA"/>
                      </w:rPr>
                      <m:t>ε+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val="uk-UA" w:eastAsia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uk-UA" w:eastAsia="uk-UA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uk-UA" w:eastAsia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uk-UA" w:eastAsia="uk-UA"/>
              </w:rPr>
              <m:t>2</m:t>
            </m:r>
          </m:sup>
        </m:sSup>
      </m:oMath>
      <w:r w:rsidRPr="00B15D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який може служити мірою оптичної неоднорідності. Якщо </w:t>
      </w:r>
      <w:r w:rsidRPr="00B15DD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ε</w:t>
      </w:r>
      <w:r w:rsidRPr="00B15D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= </w:t>
      </w:r>
      <w:r w:rsidRPr="00B15DD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ε</w:t>
      </w:r>
      <w:r w:rsidRPr="00B15DD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uk-UA"/>
        </w:rPr>
        <w:t>0</w:t>
      </w:r>
      <w:r w:rsidRPr="00B15DD7">
        <w:rPr>
          <w:rFonts w:ascii="Times New Roman" w:eastAsia="Times New Roman" w:hAnsi="Times New Roman"/>
          <w:sz w:val="28"/>
          <w:szCs w:val="28"/>
          <w:lang w:val="uk-UA" w:eastAsia="uk-UA"/>
        </w:rPr>
        <w:t>, то оптична неоднорідність зникає і разом з нею зникає і розсіяне світло (</w:t>
      </w:r>
      <w:r w:rsidRPr="00B15DD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I</w:t>
      </w:r>
      <w:r w:rsidRPr="00B15D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= 0). Така міра оптичної неоднорідності відноситься не обов’язково до малих часток, але може служити для характеристики оптичної неоднорідності і в інших випадках.</w:t>
      </w:r>
    </w:p>
    <w:p w:rsidR="00B15DD7" w:rsidRPr="00B15DD7" w:rsidRDefault="00B15DD7" w:rsidP="00B15DD7">
      <w:pPr>
        <w:tabs>
          <w:tab w:val="left" w:pos="4678"/>
          <w:tab w:val="left" w:pos="8931"/>
        </w:tabs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DD7">
        <w:rPr>
          <w:rFonts w:ascii="Times New Roman" w:eastAsia="Courier New" w:hAnsi="Times New Roman"/>
          <w:color w:val="000000"/>
          <w:sz w:val="28"/>
          <w:szCs w:val="28"/>
          <w:lang w:val="uk-UA" w:eastAsia="ru-RU"/>
        </w:rPr>
        <w:t>Обговорені закономірності розсіяння світла перестають бути справедливими, якщо розміри розсіювальних частинок стають порівнянними з довжиною хвилі, що нерідко спостерігається в колоїдних розчинах.</w:t>
      </w:r>
    </w:p>
    <w:p w:rsidR="005F5C79" w:rsidRPr="005F5C79" w:rsidRDefault="005F5C79" w:rsidP="00B15DD7">
      <w:pPr>
        <w:spacing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5F5C79">
        <w:rPr>
          <w:rFonts w:ascii="Times New Roman" w:eastAsiaTheme="minorHAnsi" w:hAnsi="Times New Roman"/>
          <w:sz w:val="28"/>
          <w:szCs w:val="28"/>
          <w:lang w:val="uk-UA"/>
        </w:rPr>
        <w:t>ВИСНОВОК</w:t>
      </w:r>
    </w:p>
    <w:p w:rsidR="00B119B7" w:rsidRPr="00B119B7" w:rsidRDefault="00B119B7" w:rsidP="00B119B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>Ефект Релея пояснюється розсіюванням світла на дуже малих об’єктах, таких як частки пилу чи молекули повітря, розміри яких значно менші за довжину хвилі світла.</w:t>
      </w:r>
    </w:p>
    <w:p w:rsidR="00B119B7" w:rsidRPr="00B119B7" w:rsidRDefault="00B119B7" w:rsidP="00B119B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Під час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релеєвського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 розсіювання світло відбивається в усі боки, що призводить до зменшення інтенсивності прямого світлового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променя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 в тому ж напрямку.</w:t>
      </w:r>
    </w:p>
    <w:p w:rsidR="00B119B7" w:rsidRPr="00B119B7" w:rsidRDefault="00B119B7" w:rsidP="00B119B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>Ефект Релея відіграє важливу роль в астрономії (пояснює колір неба), метеорології (властивості хмар), оптиці (розсіювання світла в оптичних матеріалах) та інших галузях науки та технологій.</w:t>
      </w:r>
    </w:p>
    <w:p w:rsidR="005F5C79" w:rsidRPr="005F5C79" w:rsidRDefault="00B119B7" w:rsidP="00B119B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>Розуміння ефекту Релея допомагає в дослідженнях атмосферних явищ, розвитку оптичних технологій, а також у вивченні властивостей матеріалів та середовищ, які взаємодіють зі світлом.</w:t>
      </w:r>
    </w:p>
    <w:p w:rsidR="005F5C79" w:rsidRPr="005F5C79" w:rsidRDefault="005F5C79" w:rsidP="00B15DD7">
      <w:pPr>
        <w:spacing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5F5C79">
        <w:rPr>
          <w:rFonts w:ascii="Times New Roman" w:eastAsiaTheme="minorHAnsi" w:hAnsi="Times New Roman"/>
          <w:sz w:val="28"/>
          <w:szCs w:val="28"/>
          <w:lang w:val="uk-UA"/>
        </w:rPr>
        <w:t>СПИСОК ВИКОРИСТАНИХ ДЖЕРЕЛ</w:t>
      </w:r>
    </w:p>
    <w:p w:rsidR="00B119B7" w:rsidRPr="00B119B7" w:rsidRDefault="00B119B7" w:rsidP="00B119B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1. Бичкова А.В. Методика вивчення спектроскопії комбінаційного розсіювання з використанням комп’ютерних технологій на заняттях з предмету «Фізико-хімічні методи аналізу»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дисс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. кандидата педагогічних наук: Бичкової А.В.- Кривий Ріг. 2018 р. 94 с.</w:t>
      </w:r>
    </w:p>
    <w:p w:rsidR="00B119B7" w:rsidRPr="00B119B7" w:rsidRDefault="00B119B7" w:rsidP="00B119B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2.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Смалюк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 А.П. Вимушене комбінаційне розсіяння світла лазерних барвників у везикулярних полімерних плівках.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дисс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. , кандидата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фізикоматематичних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 наук, доцент: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Смалюка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 Андрія Павловича. – Київ. 2021 р. 136с.</w:t>
      </w:r>
    </w:p>
    <w:p w:rsidR="00B119B7" w:rsidRPr="00B119B7" w:rsidRDefault="00B119B7" w:rsidP="00B119B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3. Мельничук Д.О. Аналітичні методи досліджень. Спектроскопічні методи аналізу: теоретичні основи і методики/С.Д. Мельничук, В.М.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Войціцький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, В.А. Грищенко. – Київ: ЦП «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Компринт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», 2016 р. – 289 с.</w:t>
      </w:r>
    </w:p>
    <w:p w:rsidR="00B119B7" w:rsidRPr="00B119B7" w:rsidRDefault="00B119B7" w:rsidP="00B119B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4. Проценко І.Ю.,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Чорноус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 А.М., Проценко С.І., Прилади та методи дослідження плівкових матеріалів. Навчальний посібник. – Суми: Вид-во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СумДУ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, 2007. – 264 с.</w:t>
      </w:r>
    </w:p>
    <w:p w:rsidR="004D453E" w:rsidRPr="004D453E" w:rsidRDefault="00B119B7" w:rsidP="00B119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5. Іващенко М.М. Структурні, оптичні та електрофізичні властивості плівок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сdse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 та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znse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 xml:space="preserve"> і гетеропереходів на їх основі. </w:t>
      </w:r>
      <w:proofErr w:type="spellStart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дисс</w:t>
      </w:r>
      <w:proofErr w:type="spellEnd"/>
      <w:r w:rsidRPr="00B119B7">
        <w:rPr>
          <w:rFonts w:ascii="Times New Roman" w:eastAsiaTheme="minorHAnsi" w:hAnsi="Times New Roman"/>
          <w:sz w:val="28"/>
          <w:szCs w:val="28"/>
          <w:lang w:val="uk-UA"/>
        </w:rPr>
        <w:t>. кандидата фізико-математичних наук: Іващенка Максима Миколайовича. – Суми . 2014 р. 163 с.</w:t>
      </w:r>
    </w:p>
    <w:sectPr w:rsidR="004D453E" w:rsidRPr="004D453E" w:rsidSect="00453A5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019"/>
    <w:multiLevelType w:val="hybridMultilevel"/>
    <w:tmpl w:val="71E02EA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403199"/>
    <w:multiLevelType w:val="hybridMultilevel"/>
    <w:tmpl w:val="DAEE701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0"/>
    <w:rsid w:val="000A3A9E"/>
    <w:rsid w:val="000E09C8"/>
    <w:rsid w:val="004D453E"/>
    <w:rsid w:val="005F5C79"/>
    <w:rsid w:val="006E4A1D"/>
    <w:rsid w:val="00785863"/>
    <w:rsid w:val="00985D10"/>
    <w:rsid w:val="00B119B7"/>
    <w:rsid w:val="00B15DD7"/>
    <w:rsid w:val="00D276A0"/>
    <w:rsid w:val="00D4400C"/>
    <w:rsid w:val="00F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E227"/>
  <w15:chartTrackingRefBased/>
  <w15:docId w15:val="{D5C95ED9-C390-40E9-863A-5F7CC5A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A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5C79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B15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15DD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СЗОШ №1</dc:creator>
  <cp:keywords/>
  <dc:description/>
  <cp:lastModifiedBy>СЗОШ №1</cp:lastModifiedBy>
  <cp:revision>3</cp:revision>
  <dcterms:created xsi:type="dcterms:W3CDTF">2024-04-13T20:55:00Z</dcterms:created>
  <dcterms:modified xsi:type="dcterms:W3CDTF">2024-04-13T20:58:00Z</dcterms:modified>
</cp:coreProperties>
</file>