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embeddings/Microsoft_Excel_Workshee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before="0" w:after="0"/>
        <w:ind w:left="0" w:hanging="0"/>
        <w:contextualSpacing w:val="false"/>
        <w:rPr>
          <w:rFonts w:eastAsia="Times New Roman"/>
          <w:b/>
          <w:b/>
          <w:lang w:val="uk-UA"/>
        </w:rPr>
      </w:pPr>
      <w:r>
        <w:rPr>
          <w:rFonts w:eastAsia="Times New Roman"/>
          <w:b/>
          <w:lang w:val="uk-UA"/>
        </w:rPr>
      </w:r>
    </w:p>
    <w:p>
      <w:pPr>
        <w:pStyle w:val="Normal"/>
        <w:spacing w:lineRule="auto" w:line="252" w:before="0" w:after="0"/>
        <w:ind w:left="0" w:hanging="0"/>
        <w:contextualSpacing w:val="false"/>
        <w:jc w:val="center"/>
        <w:rPr>
          <w:rFonts w:eastAsia="Times New Roman"/>
          <w:b/>
          <w:b/>
        </w:rPr>
      </w:pPr>
      <w:r>
        <w:rPr>
          <w:rFonts w:eastAsia="Times New Roman"/>
          <w:b/>
        </w:rPr>
      </w:r>
    </w:p>
    <w:p>
      <w:pPr>
        <w:pStyle w:val="Normal"/>
        <w:spacing w:lineRule="auto" w:line="252" w:before="0" w:after="0"/>
        <w:ind w:left="0" w:hanging="0"/>
        <w:contextualSpacing w:val="false"/>
        <w:jc w:val="center"/>
        <w:rPr/>
      </w:pPr>
      <w:r>
        <w:rPr>
          <w:rFonts w:eastAsia="Times New Roman"/>
          <w:b/>
        </w:rPr>
        <w:t>Всеукраїнський інтерактивний конкурс «МАН-Юніор Дослідник»</w:t>
      </w:r>
    </w:p>
    <w:tbl>
      <w:tblPr>
        <w:tblStyle w:val="aa"/>
        <w:tblW w:w="10349"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2980"/>
        <w:gridCol w:w="3540"/>
        <w:gridCol w:w="3828"/>
      </w:tblGrid>
      <w:tr>
        <w:trPr>
          <w:trHeight w:val="2221" w:hRule="atLeast"/>
        </w:trPr>
        <w:tc>
          <w:tcPr>
            <w:tcW w:w="2980" w:type="dxa"/>
            <w:tcBorders/>
          </w:tcPr>
          <w:p>
            <w:pPr>
              <w:pStyle w:val="Normal"/>
              <w:widowControl/>
              <w:tabs>
                <w:tab w:val="clear" w:pos="708"/>
                <w:tab w:val="left" w:pos="1843" w:leader="none"/>
              </w:tabs>
              <w:suppressAutoHyphens w:val="true"/>
              <w:spacing w:before="0" w:after="0"/>
              <w:ind w:left="0" w:hanging="0"/>
              <w:contextualSpacing/>
              <w:jc w:val="center"/>
              <w:rPr>
                <w:lang w:val="uk-UA" w:eastAsia="en-US"/>
              </w:rPr>
            </w:pPr>
            <w:r>
              <w:rPr>
                <w:rFonts w:eastAsia="Calibri"/>
                <w:kern w:val="0"/>
                <w:lang w:val="ru-RU" w:bidi="ar-SA"/>
              </w:rPr>
              <w:drawing>
                <wp:inline distT="0" distB="0" distL="0" distR="0">
                  <wp:extent cx="1755775" cy="17557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rot="10800000">
                            <a:off x="0" y="0"/>
                            <a:ext cx="1755775" cy="1755775"/>
                          </a:xfrm>
                          <a:prstGeom prst="rect">
                            <a:avLst/>
                          </a:prstGeom>
                        </pic:spPr>
                      </pic:pic>
                    </a:graphicData>
                  </a:graphic>
                </wp:inline>
              </w:drawing>
            </w:r>
          </w:p>
        </w:tc>
        <w:tc>
          <w:tcPr>
            <w:tcW w:w="7368" w:type="dxa"/>
            <w:gridSpan w:val="2"/>
            <w:tcBorders/>
          </w:tcPr>
          <w:p>
            <w:pPr>
              <w:pStyle w:val="Normal"/>
              <w:widowControl/>
              <w:suppressAutoHyphens w:val="true"/>
              <w:spacing w:lineRule="atLeast" w:line="240" w:before="0" w:after="0"/>
              <w:ind w:left="0" w:hanging="0"/>
              <w:contextualSpacing/>
              <w:jc w:val="left"/>
              <w:rPr>
                <w:sz w:val="24"/>
                <w:szCs w:val="24"/>
              </w:rPr>
            </w:pPr>
            <w:r>
              <w:rPr>
                <w:rFonts w:eastAsia="+mn-ea"/>
                <w:bCs/>
                <w:color w:val="0D0D0D"/>
                <w:kern w:val="2"/>
                <w:lang w:val="uk-UA" w:bidi="ar-SA"/>
              </w:rPr>
              <w:t>«Різноманітність комах в природних і напівприродних місцях існування</w:t>
            </w:r>
            <w:r>
              <w:rPr>
                <w:rFonts w:eastAsia="+mn-ea"/>
                <w:b/>
                <w:bCs/>
                <w:color w:val="0D0D0D"/>
                <w:kern w:val="2"/>
                <w:lang w:val="ru-RU" w:bidi="ar-SA"/>
              </w:rPr>
              <w:t>»</w:t>
            </w:r>
          </w:p>
          <w:p>
            <w:pPr>
              <w:pStyle w:val="Normal"/>
              <w:widowControl/>
              <w:suppressAutoHyphens w:val="true"/>
              <w:spacing w:lineRule="atLeast" w:line="240" w:before="0" w:after="0"/>
              <w:ind w:left="0" w:hanging="0"/>
              <w:contextualSpacing/>
              <w:jc w:val="left"/>
              <w:rPr>
                <w:kern w:val="0"/>
                <w:lang w:bidi="ar-SA"/>
              </w:rPr>
            </w:pPr>
            <w:r>
              <w:rPr>
                <w:rFonts w:eastAsia="Calibri"/>
                <w:kern w:val="0"/>
                <w:lang w:val="uk-UA" w:bidi="ar-SA"/>
              </w:rPr>
              <w:t>Виконала: Синенко Діана Андрівна</w:t>
            </w:r>
          </w:p>
          <w:p>
            <w:pPr>
              <w:pStyle w:val="Normal"/>
              <w:widowControl/>
              <w:suppressAutoHyphens w:val="true"/>
              <w:spacing w:lineRule="auto" w:line="240" w:before="0" w:after="0"/>
              <w:ind w:left="0" w:hanging="0"/>
              <w:contextualSpacing/>
              <w:jc w:val="left"/>
              <w:rPr>
                <w:lang w:val="uk-UA"/>
              </w:rPr>
            </w:pPr>
            <w:r>
              <w:rPr>
                <w:rFonts w:eastAsia="Calibri"/>
                <w:kern w:val="0"/>
                <w:lang w:val="uk-UA" w:bidi="ar-SA"/>
              </w:rPr>
              <w:t>Учениця 9 класу Старобезрадичівського ліцею</w:t>
            </w:r>
          </w:p>
          <w:p>
            <w:pPr>
              <w:pStyle w:val="Normal"/>
              <w:widowControl/>
              <w:suppressAutoHyphens w:val="true"/>
              <w:spacing w:lineRule="auto" w:line="240" w:before="0" w:after="0"/>
              <w:ind w:left="0" w:hanging="0"/>
              <w:contextualSpacing/>
              <w:jc w:val="left"/>
              <w:rPr>
                <w:kern w:val="0"/>
                <w:lang w:bidi="ar-SA"/>
              </w:rPr>
            </w:pPr>
            <w:r>
              <w:rPr>
                <w:rFonts w:eastAsia="Calibri"/>
                <w:kern w:val="0"/>
                <w:lang w:val="uk-UA" w:bidi="ar-SA"/>
              </w:rPr>
              <w:t>Козинської селищної ради Обухівського району</w:t>
            </w:r>
          </w:p>
          <w:p>
            <w:pPr>
              <w:pStyle w:val="Normal"/>
              <w:widowControl/>
              <w:suppressAutoHyphens w:val="true"/>
              <w:spacing w:lineRule="auto" w:line="240" w:before="0" w:after="0"/>
              <w:ind w:left="0" w:hanging="0"/>
              <w:contextualSpacing/>
              <w:jc w:val="left"/>
              <w:rPr>
                <w:kern w:val="0"/>
                <w:lang w:bidi="ar-SA"/>
              </w:rPr>
            </w:pPr>
            <w:r>
              <w:rPr>
                <w:rFonts w:eastAsia="Calibri"/>
                <w:kern w:val="0"/>
                <w:lang w:val="uk-UA" w:bidi="ar-SA"/>
              </w:rPr>
              <w:t>Київської області</w:t>
            </w:r>
          </w:p>
          <w:p>
            <w:pPr>
              <w:pStyle w:val="Normal"/>
              <w:widowControl/>
              <w:suppressAutoHyphens w:val="true"/>
              <w:spacing w:lineRule="atLeast" w:line="240" w:before="0" w:after="0"/>
              <w:ind w:left="0" w:hanging="0"/>
              <w:contextualSpacing/>
              <w:jc w:val="left"/>
              <w:rPr>
                <w:lang w:val="uk-UA"/>
              </w:rPr>
            </w:pPr>
            <w:r>
              <w:rPr>
                <w:rFonts w:eastAsia="Calibri"/>
                <w:kern w:val="0"/>
                <w:lang w:val="uk-UA" w:bidi="ar-SA"/>
              </w:rPr>
              <w:t>Науковий керівник: Коваль Ніна Петрівна</w:t>
            </w:r>
          </w:p>
          <w:p>
            <w:pPr>
              <w:pStyle w:val="Normal"/>
              <w:widowControl/>
              <w:suppressAutoHyphens w:val="true"/>
              <w:spacing w:lineRule="atLeast" w:line="240" w:before="0" w:after="0"/>
              <w:ind w:left="0" w:hanging="0"/>
              <w:contextualSpacing/>
              <w:jc w:val="left"/>
              <w:rPr>
                <w:lang w:val="uk-UA"/>
              </w:rPr>
            </w:pPr>
            <w:r>
              <w:rPr>
                <w:rFonts w:eastAsia="Calibri"/>
                <w:kern w:val="0"/>
                <w:lang w:val="uk-UA" w:bidi="ar-SA"/>
              </w:rPr>
              <w:t xml:space="preserve"> </w:t>
            </w:r>
            <w:r>
              <w:rPr>
                <w:rFonts w:eastAsia="Calibri"/>
                <w:kern w:val="0"/>
                <w:lang w:val="uk-UA" w:bidi="ar-SA"/>
              </w:rPr>
              <w:t>вчитель  асистент Староберадичівського ліцею</w:t>
            </w:r>
          </w:p>
        </w:tc>
      </w:tr>
      <w:tr>
        <w:trPr>
          <w:trHeight w:val="5111" w:hRule="atLeast"/>
        </w:trPr>
        <w:tc>
          <w:tcPr>
            <w:tcW w:w="6520" w:type="dxa"/>
            <w:gridSpan w:val="2"/>
            <w:tcBorders/>
          </w:tcPr>
          <w:p>
            <w:pPr>
              <w:pStyle w:val="Normal"/>
              <w:widowControl w:val="false"/>
              <w:suppressAutoHyphens w:val="true"/>
              <w:spacing w:lineRule="atLeast" w:line="240" w:before="0" w:after="0"/>
              <w:ind w:left="0" w:hanging="0"/>
              <w:contextualSpacing/>
              <w:rPr>
                <w:rFonts w:eastAsia="Times New Roman"/>
                <w:bCs/>
                <w:lang w:val="uk-UA"/>
              </w:rPr>
            </w:pPr>
            <w:r>
              <w:rPr>
                <w:rFonts w:eastAsia="Times New Roman"/>
                <w:b/>
                <w:bCs/>
                <w:kern w:val="0"/>
                <w:lang w:val="uk-UA" w:bidi="ar-SA"/>
              </w:rPr>
              <w:t>Мета роботи:</w:t>
            </w:r>
            <w:r>
              <w:rPr>
                <w:rFonts w:eastAsia="Times New Roman"/>
                <w:bCs/>
                <w:kern w:val="0"/>
                <w:lang w:val="uk-UA" w:bidi="ar-SA"/>
              </w:rPr>
              <w:t xml:space="preserve"> визначення стану різноманіття комах герпетобіонтів та хортобіонтів,</w:t>
            </w:r>
            <w:r>
              <w:rPr>
                <w:rFonts w:eastAsia="+mn-ea"/>
                <w:bCs/>
                <w:color w:val="0D0D0D"/>
                <w:kern w:val="2"/>
                <w:lang w:val="uk-UA" w:bidi="ar-SA"/>
              </w:rPr>
              <w:t xml:space="preserve"> в природних і напівприродних місцях існування,</w:t>
            </w:r>
            <w:r>
              <w:rPr>
                <w:rFonts w:eastAsia="Times New Roman"/>
                <w:bCs/>
                <w:kern w:val="0"/>
                <w:lang w:val="uk-UA" w:bidi="ar-SA"/>
              </w:rPr>
              <w:t xml:space="preserve"> для збереження та відтворення біорізноманіття.</w:t>
            </w:r>
          </w:p>
          <w:p>
            <w:pPr>
              <w:pStyle w:val="Normal"/>
              <w:widowControl w:val="false"/>
              <w:suppressAutoHyphens w:val="true"/>
              <w:spacing w:lineRule="atLeast" w:line="240" w:before="0" w:after="0"/>
              <w:ind w:left="0" w:hanging="0"/>
              <w:contextualSpacing/>
              <w:jc w:val="left"/>
              <w:rPr>
                <w:rFonts w:eastAsia="Times New Roman"/>
                <w:lang w:val="uk-UA"/>
              </w:rPr>
            </w:pPr>
            <w:r>
              <w:rPr>
                <w:rFonts w:eastAsia="Times New Roman"/>
                <w:b/>
                <w:kern w:val="0"/>
                <w:lang w:val="uk-UA" w:bidi="ar-SA"/>
              </w:rPr>
              <w:t>Об’єкт досліджень</w:t>
            </w:r>
            <w:r>
              <w:rPr>
                <w:rFonts w:eastAsia="Times New Roman"/>
                <w:kern w:val="0"/>
                <w:lang w:val="uk-UA" w:bidi="ar-SA"/>
              </w:rPr>
              <w:t>. Природні популяції ентомологічного біорізноманіття герпетобіонтів  та хортобіонтів села Старі Безрадичі.</w:t>
            </w:r>
          </w:p>
          <w:p>
            <w:pPr>
              <w:pStyle w:val="Normal"/>
              <w:widowControl w:val="false"/>
              <w:suppressAutoHyphens w:val="true"/>
              <w:spacing w:lineRule="atLeast" w:line="240" w:before="0" w:after="0"/>
              <w:ind w:left="0" w:hanging="0"/>
              <w:contextualSpacing w:val="false"/>
              <w:rPr>
                <w:rFonts w:eastAsia="Times New Roman"/>
                <w:b/>
                <w:b/>
                <w:lang w:val="uk-UA"/>
              </w:rPr>
            </w:pPr>
            <w:r>
              <w:rPr>
                <w:rFonts w:eastAsia="Times New Roman"/>
                <w:b/>
                <w:kern w:val="0"/>
                <w:lang w:val="uk-UA" w:bidi="ar-SA"/>
              </w:rPr>
              <w:t xml:space="preserve">Предмет досліджень. </w:t>
            </w:r>
            <w:r>
              <w:rPr>
                <w:rFonts w:eastAsia="Times New Roman"/>
                <w:kern w:val="0"/>
                <w:lang w:val="uk-UA" w:bidi="ar-SA"/>
              </w:rPr>
              <w:t>Стан біорізноманіття, сезонна динаміка  та шляхи збереження і відтворення .</w:t>
            </w:r>
          </w:p>
          <w:p>
            <w:pPr>
              <w:pStyle w:val="Normal"/>
              <w:widowControl w:val="false"/>
              <w:suppressAutoHyphens w:val="true"/>
              <w:spacing w:lineRule="atLeast" w:line="240" w:before="0" w:after="0"/>
              <w:ind w:left="0" w:hanging="0"/>
              <w:contextualSpacing w:val="false"/>
              <w:rPr>
                <w:rFonts w:eastAsia="Times New Roman"/>
                <w:sz w:val="24"/>
                <w:szCs w:val="24"/>
                <w:lang w:val="uk-UA"/>
              </w:rPr>
            </w:pPr>
            <w:r>
              <w:rPr>
                <w:rFonts w:eastAsia="Times New Roman"/>
                <w:b/>
                <w:kern w:val="0"/>
                <w:lang w:val="uk-UA" w:bidi="ar-SA"/>
              </w:rPr>
              <w:t>Методи досліджень.</w:t>
            </w:r>
            <w:r>
              <w:rPr>
                <w:rFonts w:eastAsia="Times New Roman"/>
                <w:kern w:val="0"/>
                <w:lang w:val="uk-UA" w:bidi="ar-SA"/>
              </w:rPr>
              <w:t xml:space="preserve"> При виконанні наукових досліджень за темою роботи використовувались аналітично-синтетичні, еколого-статистичні та експериментальні методи, апробовані та рекомендовані для польових та лабораторних досліджень в ентомології.</w:t>
            </w:r>
          </w:p>
        </w:tc>
        <w:tc>
          <w:tcPr>
            <w:tcW w:w="3828" w:type="dxa"/>
            <w:tcBorders>
              <w:top w:val="nil"/>
              <w:left w:val="nil"/>
              <w:bottom w:val="nil"/>
              <w:right w:val="nil"/>
            </w:tcBorders>
          </w:tcPr>
          <w:p>
            <w:pPr>
              <w:pStyle w:val="Normal"/>
              <w:widowControl/>
              <w:suppressAutoHyphens w:val="true"/>
              <w:spacing w:before="0" w:after="0"/>
              <w:contextualSpacing/>
              <w:rPr>
                <w:rFonts w:eastAsia="Calibri"/>
              </w:rPr>
            </w:pPr>
            <w:r>
              <w:rPr>
                <w:kern w:val="0"/>
                <w:lang w:val="ru-RU" w:bidi="ar-SA"/>
              </w:rPr>
              <w:drawing>
                <wp:inline distT="0" distB="0" distL="0" distR="0">
                  <wp:extent cx="2293620" cy="32004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tc>
      </w:tr>
      <w:tr>
        <w:trPr>
          <w:trHeight w:val="2162" w:hRule="atLeast"/>
        </w:trPr>
        <w:tc>
          <w:tcPr>
            <w:tcW w:w="6520" w:type="dxa"/>
            <w:gridSpan w:val="2"/>
            <w:tcBorders/>
          </w:tcPr>
          <w:p>
            <w:pPr>
              <w:pStyle w:val="Normal"/>
              <w:widowControl w:val="false"/>
              <w:suppressAutoHyphens w:val="true"/>
              <w:spacing w:lineRule="atLeast" w:line="240" w:before="0" w:after="0"/>
              <w:ind w:left="0" w:firstLine="720"/>
              <w:contextualSpacing w:val="false"/>
              <w:rPr>
                <w:b/>
                <w:b/>
                <w:lang w:val="uk-UA"/>
              </w:rPr>
            </w:pPr>
            <w:r>
              <w:rPr>
                <w:rFonts w:eastAsia="Calibri"/>
                <w:b/>
                <w:kern w:val="0"/>
                <w:lang w:val="uk-UA" w:bidi="ar-SA"/>
              </w:rPr>
              <w:t>Матеріали, хід та методи дослідження</w:t>
            </w:r>
          </w:p>
          <w:p>
            <w:pPr>
              <w:pStyle w:val="Normal"/>
              <w:widowControl/>
              <w:suppressAutoHyphens w:val="true"/>
              <w:spacing w:lineRule="atLeast" w:line="240" w:before="0" w:after="0"/>
              <w:ind w:left="0" w:firstLine="141"/>
              <w:contextualSpacing/>
              <w:rPr>
                <w:lang w:val="uk-UA" w:eastAsia="en-US"/>
              </w:rPr>
            </w:pPr>
            <w:r>
              <w:rPr>
                <w:rFonts w:eastAsia="Calibri"/>
                <w:color w:val="202122"/>
                <w:kern w:val="0"/>
                <w:lang w:val="ru-RU" w:bidi="ar-SA"/>
              </w:rPr>
              <w:t>Комахи — найбільша група живих організмів, що населяють нашу планету</w:t>
            </w:r>
            <w:r>
              <w:rPr>
                <w:rFonts w:eastAsia="Calibri"/>
                <w:color w:val="202122"/>
                <w:kern w:val="0"/>
                <w:lang w:val="uk-UA" w:bidi="ar-SA"/>
              </w:rPr>
              <w:t>. Вони є, рухливими тваринами, тому чисельність популяції залежить від швидкості розмноження, здатності до виживання в різних умовах і від здатності до міграції.</w:t>
            </w:r>
          </w:p>
          <w:p>
            <w:pPr>
              <w:pStyle w:val="Normal"/>
              <w:widowControl/>
              <w:suppressAutoHyphens w:val="true"/>
              <w:spacing w:lineRule="atLeast" w:line="240" w:before="0" w:after="0"/>
              <w:ind w:left="0" w:firstLine="141"/>
              <w:contextualSpacing/>
              <w:rPr>
                <w:sz w:val="24"/>
                <w:szCs w:val="24"/>
                <w:lang w:eastAsia="en-US"/>
              </w:rPr>
            </w:pPr>
            <w:r>
              <w:rPr>
                <w:rFonts w:eastAsia="Calibri"/>
                <w:kern w:val="0"/>
                <w:lang w:val="uk-UA" w:eastAsia="en-US" w:bidi="ar-SA"/>
              </w:rPr>
              <w:t>Дослідження виконували в польових умовах у межах культурних та напівприродних місцях існування.</w:t>
            </w:r>
          </w:p>
        </w:tc>
        <w:tc>
          <w:tcPr>
            <w:tcW w:w="3828" w:type="dxa"/>
            <w:tcBorders/>
          </w:tcPr>
          <w:p>
            <w:pPr>
              <w:pStyle w:val="Normal"/>
              <w:widowControl/>
              <w:tabs>
                <w:tab w:val="clear" w:pos="708"/>
                <w:tab w:val="left" w:pos="1843" w:leader="none"/>
              </w:tabs>
              <w:suppressAutoHyphens w:val="true"/>
              <w:spacing w:lineRule="atLeast" w:line="240" w:before="0" w:after="0"/>
              <w:ind w:left="0" w:hanging="0"/>
              <w:contextualSpacing/>
              <w:jc w:val="center"/>
              <w:rPr>
                <w:sz w:val="20"/>
                <w:szCs w:val="20"/>
                <w:lang w:val="uk-UA" w:eastAsia="en-US"/>
              </w:rPr>
            </w:pPr>
            <w:r>
              <w:rPr>
                <w:rFonts w:eastAsia="Calibri"/>
                <w:kern w:val="0"/>
                <w:sz w:val="20"/>
                <w:szCs w:val="20"/>
                <w:lang w:val="ru-RU" w:eastAsia="en-US" w:bidi="ar-SA"/>
              </w:rPr>
            </w:r>
          </w:p>
          <w:p>
            <w:pPr>
              <w:pStyle w:val="Normal"/>
              <w:widowControl/>
              <w:suppressAutoHyphens w:val="true"/>
              <w:spacing w:lineRule="atLeast" w:line="240" w:before="0" w:after="0"/>
              <w:ind w:left="0" w:hanging="0"/>
              <w:contextualSpacing w:val="false"/>
              <w:rPr>
                <w:rFonts w:eastAsia="Times New Roman"/>
                <w:sz w:val="24"/>
                <w:szCs w:val="24"/>
                <w:lang w:val="uk-UA"/>
              </w:rPr>
            </w:pPr>
            <w:r>
              <w:rPr>
                <w:kern w:val="0"/>
                <w:lang w:val="ru-RU" w:bidi="ar-SA"/>
              </w:rPr>
              <w:drawing>
                <wp:inline distT="0" distB="0" distL="0" distR="0">
                  <wp:extent cx="2238375" cy="115252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widowControl/>
              <w:suppressAutoHyphens w:val="true"/>
              <w:spacing w:lineRule="atLeast" w:line="240" w:before="0" w:after="0"/>
              <w:ind w:left="0" w:hanging="0"/>
              <w:contextualSpacing w:val="false"/>
              <w:rPr>
                <w:rFonts w:eastAsia="Times New Roman"/>
                <w:sz w:val="24"/>
                <w:szCs w:val="24"/>
                <w:lang w:val="uk-UA" w:eastAsia="ar-SA"/>
              </w:rPr>
            </w:pPr>
            <w:r>
              <w:rPr>
                <w:rFonts w:eastAsia="Times New Roman"/>
                <w:kern w:val="0"/>
                <w:sz w:val="24"/>
                <w:szCs w:val="24"/>
                <w:lang w:val="ru-RU" w:eastAsia="ar-SA" w:bidi="ar-SA"/>
              </w:rPr>
            </w:r>
          </w:p>
          <w:p>
            <w:pPr>
              <w:pStyle w:val="Normal"/>
              <w:widowControl/>
              <w:suppressAutoHyphens w:val="true"/>
              <w:spacing w:lineRule="atLeast" w:line="240" w:before="0" w:after="0"/>
              <w:ind w:left="0" w:hanging="0"/>
              <w:contextualSpacing w:val="false"/>
              <w:rPr>
                <w:rFonts w:eastAsia="Times New Roman"/>
                <w:sz w:val="24"/>
                <w:szCs w:val="24"/>
                <w:lang w:val="uk-UA"/>
              </w:rPr>
            </w:pPr>
            <w:r>
              <w:rPr>
                <w:rFonts w:eastAsia="Times New Roman"/>
                <w:kern w:val="0"/>
                <w:sz w:val="24"/>
                <w:szCs w:val="24"/>
                <w:lang w:val="uk-UA" w:eastAsia="ar-SA" w:bidi="ar-SA"/>
              </w:rPr>
              <w:t>Рис. 2 Динаміка чисельності комах в різних стаціях</w:t>
            </w:r>
          </w:p>
        </w:tc>
      </w:tr>
      <w:tr>
        <w:trPr/>
        <w:tc>
          <w:tcPr>
            <w:tcW w:w="10348" w:type="dxa"/>
            <w:gridSpan w:val="3"/>
            <w:tcBorders/>
          </w:tcPr>
          <w:p>
            <w:pPr>
              <w:pStyle w:val="Normal"/>
              <w:widowControl/>
              <w:suppressAutoHyphens w:val="true"/>
              <w:spacing w:lineRule="atLeast" w:line="240" w:before="0" w:after="0"/>
              <w:ind w:left="0" w:firstLine="141"/>
              <w:contextualSpacing/>
              <w:rPr>
                <w:color w:val="202122"/>
              </w:rPr>
            </w:pPr>
            <w:r>
              <w:rPr>
                <w:rFonts w:eastAsia="Times New Roman"/>
                <w:color w:val="000000"/>
                <w:kern w:val="0"/>
                <w:sz w:val="24"/>
                <w:szCs w:val="24"/>
                <w:lang w:val="uk-UA" w:bidi="ar-SA"/>
              </w:rPr>
              <w:t xml:space="preserve">  </w:t>
            </w:r>
            <w:r>
              <w:rPr>
                <w:rFonts w:eastAsia="Calibri"/>
                <w:kern w:val="0"/>
                <w:lang w:val="uk-UA" w:eastAsia="en-US" w:bidi="ar-SA"/>
              </w:rPr>
              <w:t>У зв’язку з тим, що місця існу</w:t>
            </w:r>
            <w:r>
              <w:rPr>
                <w:rFonts w:eastAsia="Calibri"/>
                <w:kern w:val="0"/>
                <w:lang w:val="ru-RU" w:eastAsia="en-US" w:bidi="ar-SA"/>
              </w:rPr>
              <w:t xml:space="preserve">вання мали велику площу, для вищої достовірності результатів відбір </w:t>
            </w:r>
            <w:r>
              <w:rPr>
                <w:rFonts w:eastAsia="Calibri"/>
                <w:kern w:val="0"/>
                <w:lang w:val="uk-UA" w:eastAsia="en-US" w:bidi="ar-SA"/>
              </w:rPr>
              <w:t xml:space="preserve">комах </w:t>
            </w:r>
            <w:r>
              <w:rPr>
                <w:rFonts w:eastAsia="Calibri"/>
                <w:kern w:val="0"/>
                <w:lang w:val="ru-RU" w:eastAsia="en-US" w:bidi="ar-SA"/>
              </w:rPr>
              <w:t xml:space="preserve"> проводили в трьох точках кожного місця існування.</w:t>
            </w:r>
          </w:p>
          <w:p>
            <w:pPr>
              <w:pStyle w:val="Normal"/>
              <w:widowControl w:val="false"/>
              <w:suppressAutoHyphens w:val="true"/>
              <w:spacing w:lineRule="atLeast" w:line="240" w:before="0" w:after="0"/>
              <w:ind w:left="0" w:hanging="0"/>
              <w:contextualSpacing w:val="false"/>
              <w:rPr>
                <w:rFonts w:eastAsia="Times New Roman"/>
              </w:rPr>
            </w:pPr>
            <w:r>
              <w:rPr>
                <w:rFonts w:eastAsia="Times New Roman"/>
                <w:color w:val="000000"/>
                <w:kern w:val="0"/>
                <w:lang w:val="uk-UA" w:bidi="ar-SA"/>
              </w:rPr>
              <w:t xml:space="preserve">   </w:t>
            </w:r>
            <w:r>
              <w:rPr>
                <w:kern w:val="0"/>
                <w:lang w:val="ru-RU" w:eastAsia="en-US" w:bidi="ar-SA"/>
              </w:rPr>
              <w:t>Упродовж квітня</w:t>
            </w:r>
            <w:r>
              <w:rPr>
                <w:kern w:val="0"/>
                <w:lang w:val="uk-UA" w:eastAsia="en-US" w:bidi="ar-SA"/>
              </w:rPr>
              <w:t xml:space="preserve"> </w:t>
            </w:r>
            <w:r>
              <w:rPr>
                <w:kern w:val="0"/>
                <w:lang w:val="ru-RU" w:eastAsia="en-US" w:bidi="ar-SA"/>
              </w:rPr>
              <w:t>–</w:t>
            </w:r>
            <w:r>
              <w:rPr>
                <w:kern w:val="0"/>
                <w:lang w:val="uk-UA" w:eastAsia="en-US" w:bidi="ar-SA"/>
              </w:rPr>
              <w:t xml:space="preserve"> серпня </w:t>
            </w:r>
            <w:r>
              <w:rPr>
                <w:kern w:val="0"/>
                <w:lang w:val="ru-RU" w:eastAsia="en-US" w:bidi="ar-SA"/>
              </w:rPr>
              <w:t xml:space="preserve"> здійсн</w:t>
            </w:r>
            <w:r>
              <w:rPr>
                <w:kern w:val="0"/>
                <w:lang w:val="uk-UA" w:eastAsia="en-US" w:bidi="ar-SA"/>
              </w:rPr>
              <w:t>ювали</w:t>
            </w:r>
            <w:r>
              <w:rPr>
                <w:kern w:val="0"/>
                <w:lang w:val="ru-RU" w:eastAsia="en-US" w:bidi="ar-SA"/>
              </w:rPr>
              <w:t xml:space="preserve"> відбори зразків</w:t>
            </w:r>
            <w:r>
              <w:rPr>
                <w:kern w:val="0"/>
                <w:lang w:val="uk-UA" w:eastAsia="en-US" w:bidi="ar-SA"/>
              </w:rPr>
              <w:t xml:space="preserve">. </w:t>
            </w:r>
            <w:r>
              <w:rPr>
                <w:rFonts w:eastAsia="Times New Roman"/>
                <w:color w:val="000000"/>
                <w:kern w:val="0"/>
                <w:lang w:val="ru-RU" w:bidi="ar-SA"/>
              </w:rPr>
              <w:t xml:space="preserve">Збір ентомофауни проводили </w:t>
            </w:r>
            <w:r>
              <w:rPr>
                <w:rFonts w:eastAsia="Times New Roman"/>
                <w:kern w:val="0"/>
                <w:lang w:val="ru-RU" w:bidi="ar-SA"/>
              </w:rPr>
              <w:t>за загальноприйнятими методами один раз на 7-10 днів</w:t>
            </w:r>
            <w:r>
              <w:rPr>
                <w:rFonts w:eastAsia="Times New Roman"/>
                <w:color w:val="000000"/>
                <w:kern w:val="0"/>
                <w:lang w:val="ru-RU" w:bidi="ar-SA"/>
              </w:rPr>
              <w:t xml:space="preserve"> на</w:t>
            </w:r>
            <w:r>
              <w:rPr>
                <w:rFonts w:eastAsia="Times New Roman"/>
                <w:kern w:val="0"/>
                <w:lang w:val="ru-RU" w:bidi="ar-SA"/>
              </w:rPr>
              <w:t xml:space="preserve"> стаціонарних ділянках. Аналізували видове багатство та рясність популяцій різних видів. Таксономічну приналежність біологічних зборів визначали за допомогою ентомологічних визначників.</w:t>
            </w:r>
          </w:p>
          <w:p>
            <w:pPr>
              <w:pStyle w:val="Normal"/>
              <w:widowControl w:val="false"/>
              <w:suppressAutoHyphens w:val="true"/>
              <w:spacing w:lineRule="atLeast" w:line="240" w:before="0" w:after="0"/>
              <w:ind w:left="0" w:hanging="0"/>
              <w:contextualSpacing w:val="false"/>
              <w:rPr>
                <w:rFonts w:eastAsia="Times New Roman"/>
                <w:lang w:val="uk-UA"/>
              </w:rPr>
            </w:pPr>
            <w:r>
              <w:rPr>
                <w:rFonts w:eastAsia="Times New Roman"/>
                <w:kern w:val="0"/>
                <w:lang w:val="uk-UA" w:bidi="ar-SA"/>
              </w:rPr>
              <w:t xml:space="preserve">  </w:t>
            </w:r>
            <w:r>
              <w:rPr>
                <w:rFonts w:eastAsia="Times New Roman"/>
                <w:kern w:val="0"/>
                <w:lang w:val="ru-RU" w:bidi="ar-SA"/>
              </w:rPr>
              <w:t xml:space="preserve">Результати досліджень опрацьовували статистично за допомогою комп’ютера за </w:t>
            </w:r>
            <w:r>
              <w:rPr>
                <w:rFonts w:eastAsia="Times New Roman"/>
                <w:kern w:val="0"/>
                <w:lang w:val="uk-UA" w:bidi="ar-SA"/>
              </w:rPr>
              <w:t xml:space="preserve">  </w:t>
            </w:r>
            <w:r>
              <w:rPr>
                <w:rFonts w:eastAsia="Times New Roman"/>
                <w:kern w:val="0"/>
                <w:lang w:val="ru-RU" w:bidi="ar-SA"/>
              </w:rPr>
              <w:t>стандартними програмами обробки результатів біологічних експериментів.</w:t>
            </w:r>
            <w:r>
              <w:rPr>
                <w:rFonts w:eastAsia="Times New Roman"/>
                <w:kern w:val="0"/>
                <w:lang w:val="uk-UA" w:bidi="ar-SA"/>
              </w:rPr>
              <w:t xml:space="preserve"> Відловлені комахи, різних видів потрапляли в ловільні сітки, їх розподіляли по рядах  і систематизували.</w:t>
            </w:r>
          </w:p>
          <w:p>
            <w:pPr>
              <w:pStyle w:val="Normal"/>
              <w:widowControl/>
              <w:suppressAutoHyphens w:val="true"/>
              <w:spacing w:lineRule="atLeast" w:line="240" w:before="0" w:after="0"/>
              <w:ind w:left="0" w:hanging="0"/>
              <w:contextualSpacing w:val="false"/>
              <w:jc w:val="left"/>
              <w:textAlignment w:val="baseline"/>
              <w:rPr>
                <w:rFonts w:eastAsia="Segoe UI"/>
                <w:color w:val="000000"/>
                <w:lang w:val="uk-UA" w:eastAsia="zh-CN"/>
              </w:rPr>
            </w:pPr>
            <w:r>
              <w:rPr>
                <w:rFonts w:eastAsia="Times New Roman"/>
                <w:color w:val="000000"/>
                <w:kern w:val="0"/>
                <w:lang w:val="uk-UA" w:eastAsia="zh-CN" w:bidi="ar-SA"/>
              </w:rPr>
              <w:t>Видове багатство та кількість особин кожного виду комах, в основному, пов’язано з температурою повітря і в меншій мірі з вологістю повітря та сумою опадів в даній місцевості.</w:t>
            </w:r>
          </w:p>
          <w:p>
            <w:pPr>
              <w:pStyle w:val="Normal"/>
              <w:widowControl/>
              <w:suppressAutoHyphens w:val="true"/>
              <w:spacing w:lineRule="atLeast" w:line="240" w:before="0" w:after="0"/>
              <w:ind w:left="-107" w:firstLine="107"/>
              <w:contextualSpacing/>
              <w:rPr>
                <w:rFonts w:eastAsia="+mn-ea"/>
                <w:color w:val="000000"/>
                <w:lang w:val="uk-UA" w:eastAsia="zh-CN"/>
              </w:rPr>
            </w:pPr>
            <w:r>
              <w:rPr>
                <w:rFonts w:eastAsia="Times New Roman"/>
                <w:color w:val="000000"/>
                <w:kern w:val="0"/>
                <w:lang w:val="uk-UA" w:eastAsia="zh-CN" w:bidi="ar-SA"/>
              </w:rPr>
              <w:t>Нерівна чисельність в видовому відношенні ентомологічного різноманіття комах, пояснюється різним значенням кормового ресурсу, трофічними зв’язками, погодними умовами, фазою розвитку рослин і комах, антропогенним навантаженням.</w:t>
            </w:r>
            <w:r>
              <w:rPr>
                <w:rFonts w:eastAsia="+mn-ea"/>
                <w:color w:val="000000"/>
                <w:kern w:val="0"/>
                <w:lang w:val="uk-UA" w:eastAsia="zh-CN" w:bidi="ar-SA"/>
              </w:rPr>
              <w:t xml:space="preserve"> Найбільш чисельним в видовому відношенні є ряд Твердокрилі або жуки.</w:t>
            </w:r>
          </w:p>
          <w:p>
            <w:pPr>
              <w:pStyle w:val="Normal"/>
              <w:widowControl/>
              <w:suppressAutoHyphens w:val="true"/>
              <w:spacing w:lineRule="atLeast" w:line="240" w:before="0" w:after="0"/>
              <w:contextualSpacing/>
              <w:rPr>
                <w:rFonts w:eastAsia="Times New Roman"/>
                <w:lang w:val="uk-UA"/>
              </w:rPr>
            </w:pPr>
            <w:r>
              <w:rPr>
                <w:rFonts w:eastAsia="Times New Roman"/>
                <w:bCs/>
                <w:kern w:val="0"/>
                <w:lang w:val="uk-UA" w:bidi="ar-SA"/>
              </w:rPr>
              <w:t>Д</w:t>
            </w:r>
            <w:r>
              <w:rPr>
                <w:rFonts w:eastAsia="+mn-ea"/>
                <w:color w:val="000000"/>
                <w:kern w:val="0"/>
                <w:lang w:val="uk-UA" w:bidi="ar-SA"/>
              </w:rPr>
              <w:t>осліджено, ентомофауну агроландшафтів: її різноманіття, рясність популяцій,  рівні домінування сезонної динаміки, види домінуючих герпетобіонтів, комах Червоної книги ентомофауни агроландшафтів.</w:t>
            </w:r>
            <w:r>
              <w:rPr>
                <w:rFonts w:eastAsia="Times New Roman"/>
                <w:kern w:val="0"/>
                <w:lang w:val="uk-UA" w:bidi="ar-SA"/>
              </w:rPr>
              <w:t xml:space="preserve"> Пік чисельності  комах по всіх стаціях спостерігався з другої декади червня по третю декаду липня, що пояснюється підвищенням температури, яка впливає на швидкість онтогенезу, активність комах та тривалість періоду їх розмноження. Найбільша чисельність виду спостерігалася на екотонах, оскільки біорізноманіття на них чисельніше, ніж на самих полях.</w:t>
            </w:r>
          </w:p>
          <w:p>
            <w:pPr>
              <w:pStyle w:val="Normal"/>
              <w:widowControl/>
              <w:suppressAutoHyphens w:val="false"/>
              <w:spacing w:lineRule="atLeast" w:line="240" w:before="0" w:after="0"/>
              <w:ind w:left="0" w:firstLine="35"/>
              <w:contextualSpacing w:val="false"/>
              <w:rPr>
                <w:rFonts w:eastAsia="Times New Roman"/>
                <w:lang w:val="uk-UA"/>
              </w:rPr>
            </w:pPr>
            <w:r>
              <w:rPr>
                <w:rFonts w:eastAsia="Times New Roman"/>
                <w:kern w:val="0"/>
                <w:lang w:val="uk-UA" w:bidi="ar-SA"/>
              </w:rPr>
              <w:t xml:space="preserve">Встановлено, що найвищі показники видового різноманіття реєструються в середині літа (ІІ декада липня), цей термін є оптимальним для аналізу показників біорізноманіття. </w:t>
            </w:r>
            <w:r>
              <w:rPr>
                <w:rFonts w:eastAsia="Times New Roman"/>
                <w:color w:val="000000"/>
                <w:kern w:val="0"/>
                <w:lang w:val="uk-UA" w:bidi="ar-SA"/>
              </w:rPr>
              <w:t xml:space="preserve">Комахи виявляються в природі з квітня і до початку жовтня. </w:t>
            </w:r>
            <w:r>
              <w:rPr>
                <w:rFonts w:eastAsia="Times New Roman"/>
                <w:kern w:val="0"/>
                <w:lang w:val="uk-UA" w:bidi="ar-SA"/>
              </w:rPr>
              <w:t>Рівень біорізноманіття залежить від типу та стану біоценозу з яким межують життєві стації комах, в даному випадку це лісосмуги, що може бути обумовлено антропогенним впливом на біоценоз та трофічними зв’язками комах-дендробіонтів, які включають в себе також трав'яні рослини.</w:t>
            </w:r>
          </w:p>
        </w:tc>
      </w:tr>
    </w:tbl>
    <w:p>
      <w:pPr>
        <w:pStyle w:val="Normal"/>
        <w:spacing w:lineRule="atLeast" w:line="240"/>
        <w:ind w:left="0" w:hanging="0"/>
        <w:rPr>
          <w:b/>
          <w:b/>
          <w:lang w:val="uk-UA"/>
        </w:rPr>
      </w:pPr>
      <w:r>
        <w:rPr>
          <w:rFonts w:eastAsia="Times New Roman"/>
          <w:color w:val="000000"/>
          <w:sz w:val="24"/>
          <w:szCs w:val="24"/>
          <w:lang w:val="uk-UA"/>
        </w:rPr>
        <w:t xml:space="preserve"> </w:t>
      </w:r>
    </w:p>
    <w:p>
      <w:pPr>
        <w:pStyle w:val="Normal"/>
        <w:ind w:left="0" w:hanging="0"/>
        <w:rPr>
          <w:rFonts w:eastAsia="Times New Roman"/>
          <w:lang w:val="uk-UA"/>
        </w:rPr>
      </w:pPr>
      <w:r>
        <w:rPr/>
      </w:r>
    </w:p>
    <w:sectPr>
      <w:type w:val="nextPage"/>
      <w:pgSz w:w="11906" w:h="16838"/>
      <w:pgMar w:left="1701" w:right="850" w:gutter="0" w:header="0" w:top="709"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5c8f"/>
    <w:pPr>
      <w:widowControl/>
      <w:suppressAutoHyphens w:val="true"/>
      <w:bidi w:val="0"/>
      <w:spacing w:lineRule="auto" w:line="360" w:before="0" w:after="0"/>
      <w:ind w:left="-567" w:firstLine="567"/>
      <w:contextualSpacing/>
      <w:jc w:val="both"/>
    </w:pPr>
    <w:rPr>
      <w:rFonts w:ascii="Times New Roman" w:hAnsi="Times New Roman" w:cs="Times New Roman" w:eastAsia="Calibri" w:eastAsiaTheme="minorHAnsi"/>
      <w:color w:val="auto"/>
      <w:kern w:val="0"/>
      <w:sz w:val="28"/>
      <w:szCs w:val="28"/>
      <w:lang w:eastAsia="ru-RU" w:val="ru-RU" w:bidi="ar-SA"/>
    </w:rPr>
  </w:style>
  <w:style w:type="paragraph" w:styleId="7">
    <w:name w:val="Heading 7"/>
    <w:basedOn w:val="Normal"/>
    <w:next w:val="Normal"/>
    <w:link w:val="71"/>
    <w:uiPriority w:val="9"/>
    <w:semiHidden/>
    <w:unhideWhenUsed/>
    <w:qFormat/>
    <w:rsid w:val="00ed56b8"/>
    <w:pPr>
      <w:keepNext w:val="true"/>
      <w:keepLines/>
      <w:spacing w:before="200" w:after="0"/>
      <w:contextualSpacing/>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BalloonText"/>
    <w:uiPriority w:val="99"/>
    <w:semiHidden/>
    <w:qFormat/>
    <w:rsid w:val="00cd5c8f"/>
    <w:rPr>
      <w:rFonts w:ascii="Tahoma" w:hAnsi="Tahoma" w:eastAsia="Calibri" w:cs="Tahoma"/>
      <w:sz w:val="16"/>
      <w:szCs w:val="16"/>
      <w:lang w:eastAsia="ru-RU"/>
    </w:rPr>
  </w:style>
  <w:style w:type="character" w:styleId="71" w:customStyle="1">
    <w:name w:val="Заголовок 7 Знак"/>
    <w:basedOn w:val="DefaultParagraphFont"/>
    <w:qFormat/>
    <w:rsid w:val="00ed56b8"/>
    <w:rPr>
      <w:rFonts w:ascii="Cambria" w:hAnsi="Cambria" w:eastAsia="" w:cs="" w:asciiTheme="majorHAnsi" w:cstheme="majorBidi" w:eastAsiaTheme="majorEastAsia" w:hAnsiTheme="majorHAnsi"/>
      <w:i/>
      <w:iCs/>
      <w:color w:val="404040" w:themeColor="text1" w:themeTint="bf"/>
      <w:sz w:val="28"/>
      <w:szCs w:val="28"/>
      <w:lang w:eastAsia="ru-RU"/>
    </w:rPr>
  </w:style>
  <w:style w:type="paragraph" w:styleId="Style14">
    <w:name w:val="Заголовок"/>
    <w:basedOn w:val="Normal"/>
    <w:next w:val="Style15"/>
    <w:qFormat/>
    <w:pPr>
      <w:keepNext w:val="true"/>
      <w:spacing w:before="240" w:after="120"/>
      <w:contextualSpacing w:val="false"/>
    </w:pPr>
    <w:rPr>
      <w:rFonts w:ascii="Liberation Sans" w:hAnsi="Liberation Sans" w:eastAsia="Microsoft YaHei" w:cs="Arial"/>
      <w:sz w:val="28"/>
      <w:szCs w:val="28"/>
    </w:rPr>
  </w:style>
  <w:style w:type="paragraph" w:styleId="Style15">
    <w:name w:val="Body Text"/>
    <w:basedOn w:val="Normal"/>
    <w:pPr>
      <w:spacing w:lineRule="auto" w:line="276" w:before="0" w:after="140"/>
      <w:contextualSpacing w:val="false"/>
    </w:pPr>
    <w:rPr/>
  </w:style>
  <w:style w:type="paragraph" w:styleId="Style16">
    <w:name w:val="List"/>
    <w:basedOn w:val="Style15"/>
    <w:pPr/>
    <w:rPr>
      <w:rFonts w:cs="Arial"/>
    </w:rPr>
  </w:style>
  <w:style w:type="paragraph" w:styleId="Style17">
    <w:name w:val="Caption"/>
    <w:basedOn w:val="Normal"/>
    <w:qFormat/>
    <w:pPr>
      <w:suppressLineNumbers/>
      <w:spacing w:before="120" w:after="120"/>
      <w:contextualSpacing w:val="false"/>
    </w:pPr>
    <w:rPr>
      <w:rFonts w:cs="Arial"/>
      <w:i/>
      <w:iCs/>
      <w:sz w:val="24"/>
      <w:szCs w:val="24"/>
    </w:rPr>
  </w:style>
  <w:style w:type="paragraph" w:styleId="Style18" w:customStyle="1">
    <w:name w:val="Покажчик"/>
    <w:basedOn w:val="Normal"/>
    <w:qFormat/>
    <w:pPr>
      <w:suppressLineNumbers/>
    </w:pPr>
    <w:rPr>
      <w:rFonts w:cs="Arial"/>
    </w:rPr>
  </w:style>
  <w:style w:type="paragraph" w:styleId="1" w:customStyle="1">
    <w:name w:val="Заголовок1"/>
    <w:basedOn w:val="Normal"/>
    <w:next w:val="Style15"/>
    <w:qFormat/>
    <w:pPr>
      <w:keepNext w:val="true"/>
      <w:spacing w:before="240" w:after="120"/>
      <w:contextualSpacing w:val="false"/>
    </w:pPr>
    <w:rPr>
      <w:rFonts w:ascii="Liberation Sans" w:hAnsi="Liberation Sans" w:eastAsia="Microsoft YaHei" w:cs="Arial"/>
    </w:rPr>
  </w:style>
  <w:style w:type="paragraph" w:styleId="Caption">
    <w:name w:val="caption"/>
    <w:basedOn w:val="Normal"/>
    <w:qFormat/>
    <w:pPr>
      <w:suppressLineNumbers/>
      <w:spacing w:before="120" w:after="120"/>
      <w:contextualSpacing w:val="false"/>
    </w:pPr>
    <w:rPr>
      <w:rFonts w:cs="Arial"/>
      <w:i/>
      <w:iCs/>
      <w:sz w:val="24"/>
      <w:szCs w:val="24"/>
    </w:rPr>
  </w:style>
  <w:style w:type="paragraph" w:styleId="BalloonText">
    <w:name w:val="Balloon Text"/>
    <w:basedOn w:val="Normal"/>
    <w:link w:val="Style13"/>
    <w:uiPriority w:val="99"/>
    <w:semiHidden/>
    <w:unhideWhenUsed/>
    <w:qFormat/>
    <w:rsid w:val="00cd5c8f"/>
    <w:pPr>
      <w:spacing w:lineRule="auto" w:line="240"/>
    </w:pPr>
    <w:rPr>
      <w:rFonts w:ascii="Tahoma" w:hAnsi="Tahoma" w:cs="Tahoma"/>
      <w:sz w:val="16"/>
      <w:szCs w:val="16"/>
    </w:rPr>
  </w:style>
  <w:style w:type="paragraph" w:styleId="NormalWeb">
    <w:name w:val="Normal (Web)"/>
    <w:basedOn w:val="Normal"/>
    <w:uiPriority w:val="99"/>
    <w:qFormat/>
    <w:rsid w:val="00a1642b"/>
    <w:pPr>
      <w:spacing w:lineRule="auto" w:line="240" w:beforeAutospacing="1" w:afterAutospacing="1"/>
      <w:ind w:left="0" w:hanging="0"/>
      <w:contextualSpacing w:val="false"/>
      <w:jc w:val="left"/>
    </w:pPr>
    <w:rPr>
      <w:rFonts w:eastAsia="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4e5b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Таксономіна структура</a:t>
            </a:r>
          </a:p>
        </c:rich>
      </c:tx>
      <c:overlay val="0"/>
      <c:spPr>
        <a:noFill/>
        <a:ln w="0">
          <a:noFill/>
        </a:ln>
      </c:spPr>
    </c:title>
    <c:autoTitleDeleted val="0"/>
    <c:plotArea>
      <c:pieChart>
        <c:varyColors val="1"/>
        <c:ser>
          <c:idx val="0"/>
          <c:order val="0"/>
          <c:tx>
            <c:strRef>
              <c:f>label 0</c:f>
              <c:strCache>
                <c:ptCount val="1"/>
                <c:pt idx="0">
                  <c:v>Таксономіна структура</c:v>
                </c:pt>
              </c:strCache>
            </c:strRef>
          </c:tx>
          <c:spPr>
            <a:solidFill>
              <a:srgbClr val="4f81bd"/>
            </a:solidFill>
            <a:ln w="0">
              <a:noFill/>
            </a:ln>
          </c:spPr>
          <c:explosion val="0"/>
          <c:dPt>
            <c:idx val="0"/>
            <c:spPr>
              <a:solidFill>
                <a:srgbClr val="4f81bd"/>
              </a:solidFill>
              <a:ln w="19080">
                <a:solidFill>
                  <a:srgbClr val="ffffff"/>
                </a:solidFill>
                <a:round/>
              </a:ln>
            </c:spPr>
          </c:dPt>
          <c:dPt>
            <c:idx val="1"/>
            <c:spPr>
              <a:solidFill>
                <a:srgbClr val="c0504d"/>
              </a:solidFill>
              <a:ln w="19080">
                <a:solidFill>
                  <a:srgbClr val="ffffff"/>
                </a:solidFill>
                <a:round/>
              </a:ln>
            </c:spPr>
          </c:dPt>
          <c:dPt>
            <c:idx val="2"/>
            <c:spPr>
              <a:solidFill>
                <a:srgbClr val="9bbb59"/>
              </a:solidFill>
              <a:ln w="19080">
                <a:solidFill>
                  <a:srgbClr val="ffffff"/>
                </a:solidFill>
                <a:round/>
              </a:ln>
            </c:spPr>
          </c:dPt>
          <c:dPt>
            <c:idx val="3"/>
            <c:spPr>
              <a:solidFill>
                <a:srgbClr val="8064a2"/>
              </a:solidFill>
              <a:ln w="19080">
                <a:solidFill>
                  <a:srgbClr val="ffffff"/>
                </a:solidFill>
                <a:round/>
              </a:ln>
            </c:spPr>
          </c:dPt>
          <c:dLbls>
            <c:numFmt formatCode="0.00%" sourceLinked="0"/>
            <c:dLbl>
              <c:idx val="0"/>
              <c:numFmt formatCode="0.00%" sourceLinked="0"/>
              <c:txPr>
                <a:bodyPr wrap="square"/>
                <a:lstStyle/>
                <a:p>
                  <a:pPr>
                    <a:defRPr b="0" sz="900" spc="-1" strike="noStrike">
                      <a:solidFill>
                        <a:srgbClr val="404040"/>
                      </a:solidFill>
                      <a:latin typeface="Calibri"/>
                    </a:defRPr>
                  </a:pPr>
                </a:p>
              </c:txPr>
              <c:dLblPos val="bestFit"/>
              <c:showLegendKey val="0"/>
              <c:showVal val="1"/>
              <c:showCatName val="0"/>
              <c:showSerName val="0"/>
              <c:showPercent val="0"/>
              <c:separator>; </c:separator>
            </c:dLbl>
            <c:dLbl>
              <c:idx val="1"/>
              <c:numFmt formatCode="0.00%" sourceLinked="0"/>
              <c:txPr>
                <a:bodyPr wrap="square"/>
                <a:lstStyle/>
                <a:p>
                  <a:pPr>
                    <a:defRPr b="0" sz="900" spc="-1" strike="noStrike">
                      <a:solidFill>
                        <a:srgbClr val="404040"/>
                      </a:solidFill>
                      <a:latin typeface="Calibri"/>
                    </a:defRPr>
                  </a:pPr>
                </a:p>
              </c:txPr>
              <c:dLblPos val="bestFit"/>
              <c:showLegendKey val="0"/>
              <c:showVal val="1"/>
              <c:showCatName val="0"/>
              <c:showSerName val="0"/>
              <c:showPercent val="0"/>
              <c:separator>; </c:separator>
            </c:dLbl>
            <c:dLbl>
              <c:idx val="2"/>
              <c:numFmt formatCode="0.00%" sourceLinked="0"/>
              <c:txPr>
                <a:bodyPr wrap="square"/>
                <a:lstStyle/>
                <a:p>
                  <a:pPr>
                    <a:defRPr b="0" sz="900" spc="-1" strike="noStrike">
                      <a:solidFill>
                        <a:srgbClr val="404040"/>
                      </a:solidFill>
                      <a:latin typeface="Calibri"/>
                    </a:defRPr>
                  </a:pPr>
                </a:p>
              </c:txPr>
              <c:dLblPos val="bestFit"/>
              <c:showLegendKey val="0"/>
              <c:showVal val="1"/>
              <c:showCatName val="0"/>
              <c:showSerName val="0"/>
              <c:showPercent val="0"/>
              <c:separator>; </c:separator>
            </c:dLbl>
            <c:dLbl>
              <c:idx val="3"/>
              <c:numFmt formatCode="0.00%" sourceLinked="0"/>
              <c:txPr>
                <a:bodyPr wrap="square"/>
                <a:lstStyle/>
                <a:p>
                  <a:pPr>
                    <a:defRPr b="0" sz="900" spc="-1" strike="noStrike">
                      <a:solidFill>
                        <a:srgbClr val="404040"/>
                      </a:solidFill>
                      <a:latin typeface="Calibri"/>
                    </a:defRPr>
                  </a:pPr>
                </a:p>
              </c:txPr>
              <c:dLblPos val="bestFit"/>
              <c:showLegendKey val="0"/>
              <c:showVal val="1"/>
              <c:showCatName val="0"/>
              <c:showSerName val="0"/>
              <c:showPercent val="0"/>
              <c:separator>; </c:separator>
            </c:dLbl>
            <c:txPr>
              <a:bodyPr wrap="square"/>
              <a:lstStyle/>
              <a:p>
                <a:pPr>
                  <a:defRPr b="0" sz="900" spc="-1" strike="noStrike">
                    <a:solidFill>
                      <a:srgbClr val="404040"/>
                    </a:solidFill>
                    <a:latin typeface="Calibri"/>
                  </a:defRPr>
                </a:pPr>
              </a:p>
            </c:txPr>
            <c:dLblPos val="bestFit"/>
            <c:showLegendKey val="0"/>
            <c:showVal val="1"/>
            <c:showCatName val="0"/>
            <c:showSerName val="0"/>
            <c:showPercent val="0"/>
            <c:separator>; </c:separator>
            <c:showLeaderLines val="1"/>
          </c:dLbls>
          <c:cat>
            <c:strRef>
              <c:f>categories</c:f>
              <c:strCache>
                <c:ptCount val="4"/>
                <c:pt idx="0">
                  <c:v>Твердокрилі</c:v>
                </c:pt>
                <c:pt idx="1">
                  <c:v>Прямокрилі</c:v>
                </c:pt>
                <c:pt idx="2">
                  <c:v>Перетинчастокрилі</c:v>
                </c:pt>
                <c:pt idx="3">
                  <c:v>Лускокрилі</c:v>
                </c:pt>
              </c:strCache>
            </c:strRef>
          </c:cat>
          <c:val>
            <c:numRef>
              <c:f>0</c:f>
              <c:numCache>
                <c:formatCode>General</c:formatCode>
                <c:ptCount val="4"/>
                <c:pt idx="0">
                  <c:v>0.5556</c:v>
                </c:pt>
                <c:pt idx="1">
                  <c:v>0.1292</c:v>
                </c:pt>
                <c:pt idx="2">
                  <c:v>0.1429</c:v>
                </c:pt>
                <c:pt idx="3">
                  <c:v>0.1723</c:v>
                </c:pt>
              </c:numCache>
            </c:numRef>
          </c:val>
        </c:ser>
        <c:firstSliceAng val="0"/>
      </c:pieChart>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Ряд 1</c:v>
                </c:pt>
              </c:strCache>
            </c:strRef>
          </c:tx>
          <c:spPr>
            <a:solidFill>
              <a:srgbClr val="4f81bd"/>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Категория 1</c:v>
                </c:pt>
                <c:pt idx="1">
                  <c:v>Категория 2</c:v>
                </c:pt>
                <c:pt idx="2">
                  <c:v>Категория 3</c:v>
                </c:pt>
                <c:pt idx="3">
                  <c:v>Категория 4</c:v>
                </c:pt>
              </c:strCache>
            </c:strRef>
          </c:cat>
          <c:val>
            <c:numRef>
              <c:f>0</c:f>
              <c:numCache>
                <c:formatCode>General</c:formatCode>
                <c:ptCount val="4"/>
                <c:pt idx="0">
                  <c:v>4.3</c:v>
                </c:pt>
                <c:pt idx="1">
                  <c:v>2.5</c:v>
                </c:pt>
                <c:pt idx="2">
                  <c:v>3.5</c:v>
                </c:pt>
                <c:pt idx="3">
                  <c:v>4.5</c:v>
                </c:pt>
              </c:numCache>
            </c:numRef>
          </c:val>
        </c:ser>
        <c:ser>
          <c:idx val="1"/>
          <c:order val="1"/>
          <c:tx>
            <c:strRef>
              <c:f>label 1</c:f>
              <c:strCache>
                <c:ptCount val="1"/>
                <c:pt idx="0">
                  <c:v>Ряд 2</c:v>
                </c:pt>
              </c:strCache>
            </c:strRef>
          </c:tx>
          <c:spPr>
            <a:solidFill>
              <a:srgbClr val="c0504d"/>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Категория 1</c:v>
                </c:pt>
                <c:pt idx="1">
                  <c:v>Категория 2</c:v>
                </c:pt>
                <c:pt idx="2">
                  <c:v>Категория 3</c:v>
                </c:pt>
                <c:pt idx="3">
                  <c:v>Категория 4</c:v>
                </c:pt>
              </c:strCache>
            </c:strRef>
          </c:cat>
          <c:val>
            <c:numRef>
              <c:f>1</c:f>
              <c:numCache>
                <c:formatCode>General</c:formatCode>
                <c:ptCount val="4"/>
                <c:pt idx="0">
                  <c:v>2.4</c:v>
                </c:pt>
                <c:pt idx="1">
                  <c:v>4.4</c:v>
                </c:pt>
                <c:pt idx="2">
                  <c:v>1.8</c:v>
                </c:pt>
                <c:pt idx="3">
                  <c:v>2.8</c:v>
                </c:pt>
              </c:numCache>
            </c:numRef>
          </c:val>
        </c:ser>
        <c:ser>
          <c:idx val="2"/>
          <c:order val="2"/>
          <c:tx>
            <c:strRef>
              <c:f>label 2</c:f>
              <c:strCache>
                <c:ptCount val="1"/>
                <c:pt idx="0">
                  <c:v>Ряд 3</c:v>
                </c:pt>
              </c:strCache>
            </c:strRef>
          </c:tx>
          <c:spPr>
            <a:solidFill>
              <a:srgbClr val="9bbb59"/>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4"/>
                <c:pt idx="0">
                  <c:v>Категория 1</c:v>
                </c:pt>
                <c:pt idx="1">
                  <c:v>Категория 2</c:v>
                </c:pt>
                <c:pt idx="2">
                  <c:v>Категория 3</c:v>
                </c:pt>
                <c:pt idx="3">
                  <c:v>Категория 4</c:v>
                </c:pt>
              </c:strCache>
            </c:strRef>
          </c:cat>
          <c:val>
            <c:numRef>
              <c:f>2</c:f>
              <c:numCache>
                <c:formatCode>General</c:formatCode>
                <c:ptCount val="4"/>
                <c:pt idx="0">
                  <c:v>2</c:v>
                </c:pt>
                <c:pt idx="1">
                  <c:v>2</c:v>
                </c:pt>
                <c:pt idx="2">
                  <c:v>3</c:v>
                </c:pt>
                <c:pt idx="3">
                  <c:v>5</c:v>
                </c:pt>
              </c:numCache>
            </c:numRef>
          </c:val>
        </c:ser>
        <c:gapWidth val="150"/>
        <c:overlap val="0"/>
        <c:axId val="24132321"/>
        <c:axId val="54108961"/>
      </c:barChart>
      <c:catAx>
        <c:axId val="24132321"/>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4108961"/>
        <c:crosses val="autoZero"/>
        <c:auto val="1"/>
        <c:lblAlgn val="ctr"/>
        <c:lblOffset val="100"/>
        <c:noMultiLvlLbl val="0"/>
      </c:catAx>
      <c:valAx>
        <c:axId val="5410896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4132321"/>
        <c:crosses val="autoZero"/>
        <c:crossBetween val="between"/>
      </c:valAx>
      <c:spPr>
        <a:noFill/>
        <a:ln w="0">
          <a:noFill/>
        </a:ln>
      </c:spPr>
    </c:plotArea>
    <c:legend>
      <c:legendPos val="r"/>
      <c:layout>
        <c:manualLayout>
          <c:xMode val="edge"/>
          <c:yMode val="edge"/>
          <c:x val="0.72125"/>
          <c:y val="0.159888888888889"/>
          <c:w val="0.278704919057441"/>
          <c:h val="0.684964996110679"/>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47A35E-78C7-4ABD-B6AA-4E0EDB38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Application>LibreOffice/7.4.0.3$Windows_x86 LibreOffice_project/f85e47c08ddd19c015c0114a68350214f7066f5a</Application>
  <AppVersion>15.0000</AppVersion>
  <Pages>2</Pages>
  <Words>446</Words>
  <Characters>3198</Characters>
  <CharactersWithSpaces>3642</CharactersWithSpaces>
  <Paragraphs>27</Paragraphs>
  <Company>Bryansk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2021-01-19T09:12:00Z</dcterms:created>
  <dc:creator>Пользователь Windows</dc:creator>
  <dc:description/>
  <dc:language>uk-UA</dc:language>
  <cp:lastModifiedBy/>
  <cp:lastPrinted>2022-01-10T12:16:00Z</cp:lastPrinted>
  <dcterms:modified xsi:type="dcterms:W3CDTF">2024-04-19T14:49:36Z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