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7" w:rsidRPr="00153322" w:rsidRDefault="00D53707" w:rsidP="00153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53707" w:rsidRPr="00153322" w:rsidRDefault="00D53707" w:rsidP="00153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«Тут народився геній Гоголя…»</w:t>
      </w:r>
      <w:r w:rsidRPr="00153322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D53707" w:rsidRPr="00153322" w:rsidRDefault="00D53707" w:rsidP="00153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Проєкт виконали: </w:t>
      </w:r>
      <w:r w:rsidRPr="00153322">
        <w:rPr>
          <w:rFonts w:ascii="Times New Roman" w:hAnsi="Times New Roman" w:cs="Times New Roman"/>
          <w:sz w:val="28"/>
          <w:szCs w:val="28"/>
          <w:lang w:val="az-Cyrl-AZ"/>
        </w:rPr>
        <w:t xml:space="preserve">учні 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гімназії №10 Ніжинської міської ради Чернігівської області Максименко Анна Олександрівна та </w:t>
      </w:r>
      <w:proofErr w:type="spellStart"/>
      <w:r w:rsidRPr="00153322">
        <w:rPr>
          <w:rFonts w:ascii="Times New Roman" w:hAnsi="Times New Roman" w:cs="Times New Roman"/>
          <w:sz w:val="28"/>
          <w:szCs w:val="28"/>
          <w:lang w:val="uk-UA"/>
        </w:rPr>
        <w:t>Струк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(8-Г клас).</w:t>
      </w:r>
    </w:p>
    <w:p w:rsidR="00D53707" w:rsidRPr="00153322" w:rsidRDefault="00D53707" w:rsidP="0015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  <w:lang w:val="uk-UA"/>
        </w:rPr>
        <w:t>Кресан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Жанна Володимирівна, учителька історії  Ніжинської гімназії №10 Ніжинської міської ради Чернігівської області</w:t>
      </w:r>
    </w:p>
    <w:p w:rsidR="005F6E4D" w:rsidRPr="00153322" w:rsidRDefault="005F6E4D" w:rsidP="00153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5F3" w:rsidRPr="00153322" w:rsidRDefault="005555F3" w:rsidP="00153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Пізнання малої Батьківщини та пов’язаних з нею видатних особистостей, які формували нашу культуру та історію, завжди буде </w:t>
      </w:r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E4D" w:rsidRPr="00153322" w:rsidRDefault="005555F3" w:rsidP="00153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Ще в ХІХ ст. із яскравих і захопливих творів Гоголя про Україну дізналися сотні мільйонів читачів по всьому світу.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змусив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полюбити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наш народ,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перекладено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322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153322">
        <w:rPr>
          <w:rFonts w:ascii="Times New Roman" w:hAnsi="Times New Roman" w:cs="Times New Roman"/>
          <w:sz w:val="28"/>
          <w:szCs w:val="28"/>
        </w:rPr>
        <w:t>.</w:t>
      </w:r>
      <w:r w:rsidR="004F2E81"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Ніжин і Гімназія вищих наук князя Безбородька  неабияк вплинули на становлення Миколи Гоголя як особистості та як літературного діяча. </w:t>
      </w:r>
    </w:p>
    <w:p w:rsidR="00D9740E" w:rsidRPr="00153322" w:rsidRDefault="00D9740E" w:rsidP="00153322">
      <w:pPr>
        <w:spacing w:after="0" w:line="360" w:lineRule="auto"/>
        <w:jc w:val="both"/>
        <w:rPr>
          <w:rFonts w:ascii="Times New Roman" w:eastAsia="+mj-ea" w:hAnsi="Times New Roman" w:cs="Times New Roman"/>
          <w:sz w:val="28"/>
          <w:szCs w:val="28"/>
          <w:lang w:val="uk-UA"/>
        </w:rPr>
      </w:pPr>
      <w:r w:rsidRPr="00153322">
        <w:rPr>
          <w:rFonts w:ascii="Times New Roman" w:eastAsia="+mj-ea" w:hAnsi="Times New Roman" w:cs="Times New Roman"/>
          <w:b/>
          <w:bCs/>
          <w:sz w:val="28"/>
          <w:szCs w:val="28"/>
          <w:lang w:val="uk-UA"/>
        </w:rPr>
        <w:t>Мета</w:t>
      </w:r>
      <w:r w:rsidRPr="00153322">
        <w:rPr>
          <w:rFonts w:ascii="Times New Roman" w:eastAsia="+mj-ea" w:hAnsi="Times New Roman" w:cs="Times New Roman"/>
          <w:sz w:val="28"/>
          <w:szCs w:val="28"/>
          <w:lang w:val="uk-UA"/>
        </w:rPr>
        <w:t xml:space="preserve"> </w:t>
      </w:r>
      <w:r w:rsidRPr="00153322">
        <w:rPr>
          <w:rFonts w:ascii="Times New Roman" w:eastAsia="+mj-ea" w:hAnsi="Times New Roman" w:cs="Times New Roman"/>
          <w:b/>
          <w:bCs/>
          <w:sz w:val="28"/>
          <w:szCs w:val="28"/>
          <w:lang w:val="uk-UA"/>
        </w:rPr>
        <w:t>дослідження</w:t>
      </w:r>
      <w:r w:rsidRPr="00153322">
        <w:rPr>
          <w:rFonts w:ascii="Times New Roman" w:eastAsia="+mj-ea" w:hAnsi="Times New Roman" w:cs="Times New Roman"/>
          <w:sz w:val="28"/>
          <w:szCs w:val="28"/>
          <w:lang w:val="uk-UA"/>
        </w:rPr>
        <w:t xml:space="preserve"> – на основі аналізу краєзнавчих джерел розробити екскурсійний маршрут, пов’язаний з перебуванням  Миколи Гоголя у Ніжині.</w:t>
      </w:r>
    </w:p>
    <w:p w:rsidR="00D9740E" w:rsidRPr="00153322" w:rsidRDefault="00D9740E" w:rsidP="00153322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53322">
        <w:rPr>
          <w:rFonts w:eastAsiaTheme="minorEastAsia"/>
          <w:b/>
          <w:bCs/>
          <w:sz w:val="28"/>
          <w:szCs w:val="28"/>
          <w:lang w:val="uk-UA"/>
        </w:rPr>
        <w:t>Завдання</w:t>
      </w:r>
      <w:r w:rsidRPr="00153322">
        <w:rPr>
          <w:rFonts w:eastAsiaTheme="minorEastAsia"/>
          <w:sz w:val="28"/>
          <w:szCs w:val="28"/>
          <w:lang w:val="uk-UA"/>
        </w:rPr>
        <w:t xml:space="preserve"> </w:t>
      </w:r>
      <w:r w:rsidRPr="00153322">
        <w:rPr>
          <w:rFonts w:eastAsiaTheme="minorEastAsia"/>
          <w:b/>
          <w:bCs/>
          <w:sz w:val="28"/>
          <w:szCs w:val="28"/>
          <w:lang w:val="uk-UA"/>
        </w:rPr>
        <w:t>дослідження</w:t>
      </w:r>
      <w:r w:rsidRPr="00153322">
        <w:rPr>
          <w:rFonts w:eastAsiaTheme="minorEastAsia"/>
          <w:sz w:val="28"/>
          <w:szCs w:val="28"/>
          <w:lang w:val="uk-UA"/>
        </w:rPr>
        <w:t xml:space="preserve">: </w:t>
      </w:r>
    </w:p>
    <w:p w:rsidR="00D9740E" w:rsidRPr="00153322" w:rsidRDefault="00D9740E" w:rsidP="00153322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153322">
        <w:rPr>
          <w:rFonts w:eastAsiaTheme="minorEastAsia"/>
          <w:sz w:val="28"/>
          <w:szCs w:val="28"/>
          <w:lang w:val="uk-UA"/>
        </w:rPr>
        <w:t xml:space="preserve"> Ознайомитися з краєзнавчою літературою, спогадами, архівними документами, фондами місцевих музеїв щодо перебування Миколи Гоголя у Ніжині під час навчання у Гімназії вищих наук князя Безбородька.</w:t>
      </w:r>
    </w:p>
    <w:p w:rsidR="00D9740E" w:rsidRPr="00153322" w:rsidRDefault="00D9740E" w:rsidP="00153322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153322">
        <w:rPr>
          <w:rFonts w:eastAsiaTheme="minorEastAsia"/>
          <w:sz w:val="28"/>
          <w:szCs w:val="28"/>
          <w:lang w:val="uk-UA"/>
        </w:rPr>
        <w:t>Прослідкувати особливості організації навчання й дозвілля у Гімназії вищих наук та їх вплив на вихованців.</w:t>
      </w:r>
    </w:p>
    <w:p w:rsidR="00D9740E" w:rsidRPr="00153322" w:rsidRDefault="00D9740E" w:rsidP="00153322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153322">
        <w:rPr>
          <w:rFonts w:eastAsiaTheme="minorEastAsia"/>
          <w:sz w:val="28"/>
          <w:szCs w:val="28"/>
          <w:lang w:val="uk-UA"/>
        </w:rPr>
        <w:t>Виявити (за можливості) артефакти, пов’язані з періодом навчання Миколи Гоголя  в Ніжині.</w:t>
      </w:r>
    </w:p>
    <w:p w:rsidR="00D9740E" w:rsidRPr="00153322" w:rsidRDefault="00D9740E" w:rsidP="00153322">
      <w:pPr>
        <w:pStyle w:val="a4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  <w:r w:rsidRPr="00153322">
        <w:rPr>
          <w:rFonts w:eastAsiaTheme="minorEastAsia"/>
          <w:sz w:val="28"/>
          <w:szCs w:val="28"/>
          <w:lang w:val="uk-UA"/>
        </w:rPr>
        <w:t>Скласти екскурсійний маршрут гоголівськими локаціями  Ніжина. Сприяти збереженню історично-культурної спадщини через популяризацію та пропагування результатів дослідження.</w:t>
      </w:r>
    </w:p>
    <w:p w:rsidR="00D9740E" w:rsidRPr="00153322" w:rsidRDefault="00D9740E" w:rsidP="00153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: історико-культурна спадщина міста Ніжина. </w:t>
      </w:r>
    </w:p>
    <w:p w:rsidR="00D9740E" w:rsidRPr="00153322" w:rsidRDefault="00D9740E" w:rsidP="00153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>: локації, архітектурні та речові пам’ятки міста, пов’язані з ім’ям  Миколи Гоголя.</w:t>
      </w:r>
    </w:p>
    <w:p w:rsidR="00D9740E" w:rsidRPr="00153322" w:rsidRDefault="00D9740E" w:rsidP="001533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дослідження</w:t>
      </w:r>
      <w:r w:rsidRPr="0015332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узагальнення історичних джерел (</w:t>
      </w:r>
      <w:proofErr w:type="spellStart"/>
      <w:r w:rsidRPr="00153322">
        <w:rPr>
          <w:rFonts w:ascii="Times New Roman" w:hAnsi="Times New Roman" w:cs="Times New Roman"/>
          <w:sz w:val="28"/>
          <w:szCs w:val="28"/>
          <w:lang w:val="uk-UA"/>
        </w:rPr>
        <w:t>оцифровані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та опубліковані архівні документи, фото, спогади), опрацювання краєзнавчої літератури, консультування зі співробітниками музеїв «Поштова станція», «Кімната Миколи Гоголя», Художнього відділу Ніжинського краєзнавчого музею, фотофіксація об'єктів маршруту.</w:t>
      </w:r>
    </w:p>
    <w:p w:rsidR="00D423C3" w:rsidRPr="00153322" w:rsidRDefault="00D423C3" w:rsidP="0015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sz w:val="28"/>
          <w:szCs w:val="28"/>
          <w:lang w:val="uk-UA"/>
        </w:rPr>
        <w:t>Особистим внеском є складання екскурсійного маршруту</w:t>
      </w:r>
      <w:r w:rsidRPr="00153322">
        <w:rPr>
          <w:rFonts w:ascii="Times New Roman" w:hAnsi="Times New Roman" w:cs="Times New Roman"/>
          <w:sz w:val="28"/>
          <w:szCs w:val="28"/>
        </w:rPr>
        <w:t xml:space="preserve"> </w:t>
      </w:r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у двох варіантах: 1) протяжністю 2,3 км, який </w:t>
      </w:r>
      <w:proofErr w:type="spellStart"/>
      <w:r w:rsidRPr="00153322">
        <w:rPr>
          <w:rFonts w:ascii="Times New Roman" w:hAnsi="Times New Roman" w:cs="Times New Roman"/>
          <w:sz w:val="28"/>
          <w:szCs w:val="28"/>
          <w:lang w:val="uk-UA"/>
        </w:rPr>
        <w:t>підійде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для молодших школярів або певних вікових груп та 2) протяжністю 4,3 км для дорослих або поєднання відвідання екскурсійних об’єктів зі </w:t>
      </w:r>
      <w:proofErr w:type="spellStart"/>
      <w:r w:rsidRPr="00153322">
        <w:rPr>
          <w:rFonts w:ascii="Times New Roman" w:hAnsi="Times New Roman" w:cs="Times New Roman"/>
          <w:sz w:val="28"/>
          <w:szCs w:val="28"/>
          <w:lang w:val="uk-UA"/>
        </w:rPr>
        <w:t>сканді</w:t>
      </w:r>
      <w:proofErr w:type="spellEnd"/>
      <w:r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-ходьбою. </w:t>
      </w:r>
    </w:p>
    <w:p w:rsidR="00BA64B5" w:rsidRPr="00153322" w:rsidRDefault="00BA64B5" w:rsidP="001533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BA64B5" w:rsidRPr="00153322" w:rsidRDefault="00BA64B5" w:rsidP="001533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Опрацьовано літературу, доступні  архівні джерела, спогади, інформацію краєзнавців,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віднайдено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старовинні  фото у приватних колекціях містян. </w:t>
      </w:r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Сформовано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ніжинці</w:t>
      </w:r>
      <w:proofErr w:type="gram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екскурсійний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маршрут.</w:t>
      </w:r>
    </w:p>
    <w:p w:rsidR="00BA64B5" w:rsidRPr="00153322" w:rsidRDefault="00BA64B5" w:rsidP="001533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–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університетського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на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Лівобережжі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держслужбовців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вивченню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глибокого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ораторського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різнопланових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з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гімназисти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занурюватися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народу,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надбань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відіграло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з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подальшій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Гоголя. «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Гоголем-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гімназистом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Остром,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простежуються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«Миргород», «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Ревізор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64B5" w:rsidRPr="00153322" w:rsidRDefault="00BA64B5" w:rsidP="001533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маловживаних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ніжинського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 та</w:t>
      </w:r>
      <w:r w:rsidR="00153322" w:rsidRPr="0015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proofErr w:type="gramEnd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>увічнення</w:t>
      </w:r>
      <w:proofErr w:type="spellEnd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="00153322" w:rsidRPr="00153322">
        <w:rPr>
          <w:rStyle w:val="oypen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4B5" w:rsidRPr="00153322" w:rsidRDefault="00BA64B5" w:rsidP="0015332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артефакти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</w:t>
      </w:r>
      <w:proofErr w:type="gram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ст.,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безпосереднє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 (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архітектурних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1533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3AE9" w:rsidRPr="00153322" w:rsidRDefault="004F2E81" w:rsidP="0015332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22">
        <w:rPr>
          <w:rFonts w:ascii="Times New Roman" w:hAnsi="Times New Roman" w:cs="Times New Roman"/>
          <w:sz w:val="28"/>
          <w:szCs w:val="28"/>
          <w:lang w:val="uk-UA"/>
        </w:rPr>
        <w:t>Дослідження не претендує на вичерпність, але мотивує розширювати свої знання з історії рідного краю і дослідження життя славетних людей, пов’язаних з</w:t>
      </w:r>
      <w:r w:rsidR="005F6E4D" w:rsidRPr="00153322">
        <w:rPr>
          <w:rFonts w:ascii="Times New Roman" w:hAnsi="Times New Roman" w:cs="Times New Roman"/>
          <w:sz w:val="28"/>
          <w:szCs w:val="28"/>
          <w:lang w:val="uk-UA"/>
        </w:rPr>
        <w:t xml:space="preserve"> Ніжином.</w:t>
      </w:r>
    </w:p>
    <w:sectPr w:rsidR="00AA3AE9" w:rsidRPr="00153322" w:rsidSect="005F6E4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B30"/>
    <w:multiLevelType w:val="multilevel"/>
    <w:tmpl w:val="DA2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18D7"/>
    <w:multiLevelType w:val="hybridMultilevel"/>
    <w:tmpl w:val="4E5C922A"/>
    <w:lvl w:ilvl="0" w:tplc="F1A2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CC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6A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8A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2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CC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8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C5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E0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5"/>
    <w:rsid w:val="000525DE"/>
    <w:rsid w:val="00153322"/>
    <w:rsid w:val="00294610"/>
    <w:rsid w:val="004F2E81"/>
    <w:rsid w:val="005555F3"/>
    <w:rsid w:val="005F6E4D"/>
    <w:rsid w:val="006B0179"/>
    <w:rsid w:val="008A0444"/>
    <w:rsid w:val="00AA3AE9"/>
    <w:rsid w:val="00BA64B5"/>
    <w:rsid w:val="00D423C3"/>
    <w:rsid w:val="00D53707"/>
    <w:rsid w:val="00D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BA64B5"/>
  </w:style>
  <w:style w:type="paragraph" w:styleId="a3">
    <w:name w:val="Normal (Web)"/>
    <w:basedOn w:val="a"/>
    <w:uiPriority w:val="99"/>
    <w:semiHidden/>
    <w:unhideWhenUsed/>
    <w:rsid w:val="00D9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BA64B5"/>
  </w:style>
  <w:style w:type="paragraph" w:styleId="a3">
    <w:name w:val="Normal (Web)"/>
    <w:basedOn w:val="a"/>
    <w:uiPriority w:val="99"/>
    <w:semiHidden/>
    <w:unhideWhenUsed/>
    <w:rsid w:val="00D9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3</cp:revision>
  <dcterms:created xsi:type="dcterms:W3CDTF">2024-04-18T04:25:00Z</dcterms:created>
  <dcterms:modified xsi:type="dcterms:W3CDTF">2024-04-18T05:10:00Z</dcterms:modified>
</cp:coreProperties>
</file>