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BA9C" w14:textId="77777777" w:rsidR="001333C8" w:rsidRDefault="00C12C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МАЛОВІДОМІ АРХІТЕКТУРНІ ПАМ’ЯТКИ МІСТА МИРНОГРАД</w:t>
      </w:r>
    </w:p>
    <w:p w14:paraId="2846C492" w14:textId="77777777" w:rsidR="001333C8" w:rsidRDefault="001333C8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EFDCF8" w14:textId="43AF86FD" w:rsidR="001333C8" w:rsidRPr="006C7DD7" w:rsidRDefault="00C12C19" w:rsidP="006C7DD7">
      <w:pPr>
        <w:spacing w:after="0" w:line="360" w:lineRule="auto"/>
        <w:ind w:firstLine="31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Горбоносова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Катерина,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учениця 9</w:t>
      </w:r>
      <w:r>
        <w:rPr>
          <w:rFonts w:ascii="Times New Roman" w:hAnsi="Times New Roman" w:cs="Times New Roman"/>
          <w:iCs/>
          <w:spacing w:val="7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класу</w:t>
      </w:r>
      <w:r>
        <w:rPr>
          <w:rFonts w:ascii="Times New Roman" w:hAnsi="Times New Roman" w:cs="Times New Roman"/>
          <w:iCs/>
          <w:spacing w:val="7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iCs/>
          <w:spacing w:val="7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iCs/>
          <w:spacing w:val="7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середньої   освіти</w:t>
      </w:r>
      <w:r>
        <w:rPr>
          <w:rFonts w:ascii="Times New Roman" w:hAnsi="Times New Roman" w:cs="Times New Roman"/>
          <w:i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І-ІІІ</w:t>
      </w:r>
      <w:r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ступенів</w:t>
      </w:r>
      <w:r>
        <w:rPr>
          <w:rFonts w:ascii="Times New Roman" w:hAnsi="Times New Roman" w:cs="Times New Roman"/>
          <w:iCs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№10</w:t>
      </w:r>
      <w:r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 xml:space="preserve"> </w:t>
      </w:r>
      <w:bookmarkStart w:id="0" w:name="_Hlk164543875"/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Мирноградської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iCs/>
          <w:spacing w:val="3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Донецької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області</w:t>
      </w:r>
      <w:r w:rsidR="006C7D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6C7DD7" w:rsidRPr="006C7DD7">
        <w:rPr>
          <w:lang w:val="uk-UA"/>
        </w:rPr>
        <w:t xml:space="preserve"> </w:t>
      </w:r>
      <w:r w:rsidR="006C7DD7" w:rsidRPr="006C7D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вихованка гуртка «Основи науково-дослідницької діяльності» БТДЮ </w:t>
      </w:r>
      <w:proofErr w:type="spellStart"/>
      <w:r w:rsidR="00265AD9">
        <w:rPr>
          <w:rFonts w:ascii="Times New Roman" w:hAnsi="Times New Roman" w:cs="Times New Roman"/>
          <w:iCs/>
          <w:sz w:val="28"/>
          <w:szCs w:val="28"/>
          <w:lang w:val="uk-UA"/>
        </w:rPr>
        <w:t>Мирноградської</w:t>
      </w:r>
      <w:proofErr w:type="spellEnd"/>
      <w:r w:rsidR="00265AD9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 </w:t>
      </w:r>
      <w:r w:rsidR="00265AD9">
        <w:rPr>
          <w:rFonts w:ascii="Times New Roman" w:hAnsi="Times New Roman" w:cs="Times New Roman"/>
          <w:iCs/>
          <w:sz w:val="28"/>
          <w:szCs w:val="28"/>
          <w:lang w:val="uk-UA"/>
        </w:rPr>
        <w:t>міської</w:t>
      </w:r>
      <w:r w:rsidR="00265AD9"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 xml:space="preserve"> </w:t>
      </w:r>
      <w:r w:rsidR="00265AD9">
        <w:rPr>
          <w:rFonts w:ascii="Times New Roman" w:hAnsi="Times New Roman" w:cs="Times New Roman"/>
          <w:iCs/>
          <w:sz w:val="28"/>
          <w:szCs w:val="28"/>
          <w:lang w:val="uk-UA"/>
        </w:rPr>
        <w:t>ради</w:t>
      </w:r>
      <w:r w:rsidR="00265AD9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35FCFE52" w14:textId="6B840B39" w:rsidR="001333C8" w:rsidRDefault="00C12C19" w:rsidP="00E053B6">
      <w:pPr>
        <w:spacing w:after="0" w:line="360" w:lineRule="auto"/>
        <w:ind w:firstLine="31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C7DD7">
        <w:rPr>
          <w:rFonts w:ascii="Times New Roman" w:hAnsi="Times New Roman" w:cs="Times New Roman"/>
          <w:iCs/>
          <w:sz w:val="28"/>
          <w:szCs w:val="28"/>
          <w:lang w:val="uk-UA"/>
        </w:rPr>
        <w:t>Керівник:</w:t>
      </w:r>
      <w:r>
        <w:rPr>
          <w:rFonts w:ascii="Times New Roman" w:hAnsi="Times New Roman" w:cs="Times New Roman"/>
          <w:i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Медведєв</w:t>
      </w:r>
      <w:r>
        <w:rPr>
          <w:rFonts w:ascii="Times New Roman" w:hAnsi="Times New Roman" w:cs="Times New Roman"/>
          <w:b/>
          <w:i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Костянтин</w:t>
      </w:r>
      <w:r>
        <w:rPr>
          <w:rFonts w:ascii="Times New Roman" w:hAnsi="Times New Roman" w:cs="Times New Roman"/>
          <w:b/>
          <w:i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Володимирович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i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історії</w:t>
      </w:r>
      <w:r>
        <w:rPr>
          <w:rFonts w:ascii="Times New Roman" w:hAnsi="Times New Roman" w:cs="Times New Roman"/>
          <w:i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i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загальної середньої освіти І-ІІІ ступенів №10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Мирноградської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міської ради</w:t>
      </w:r>
      <w:r w:rsidR="00265AD9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59B0CD88" w14:textId="77777777" w:rsidR="001333C8" w:rsidRPr="00E053B6" w:rsidRDefault="00C12C19" w:rsidP="00E053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3B6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виступає розвиток маловідомих пам’яток міста </w:t>
      </w:r>
      <w:proofErr w:type="spellStart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Мирноград</w:t>
      </w:r>
      <w:proofErr w:type="spellEnd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їх архітектури протягом XX – початку ХХІ століття. </w:t>
      </w:r>
      <w:r w:rsidRPr="00E05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Предметом </w:t>
      </w:r>
      <w:r w:rsidRPr="00E053B6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історія та діяльність маловідомих промислових і навчальних підприємств міста </w:t>
      </w:r>
      <w:proofErr w:type="spellStart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Мирноград</w:t>
      </w:r>
      <w:proofErr w:type="spellEnd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також зміна їх архітектури від заснування до сучасності, або припинення діяльності. </w:t>
      </w:r>
      <w:r w:rsidRPr="00E053B6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 основі комплексного аналізу неопублікованих та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опублікованих документів, наукових праць, дослідити історичні архітектурні пам’ятки міста </w:t>
      </w:r>
      <w:proofErr w:type="spellStart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Мирнограду</w:t>
      </w:r>
      <w:proofErr w:type="spellEnd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контексті регіональної історії і подати об’єктивну картину історичних подій. Для реалізації поставленої мети автор сформулював такі </w:t>
      </w:r>
      <w:r w:rsidRPr="00E053B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встановити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всі доступні історичні джерела для вивчення історії пам’яток міста, включаючи усні, письмові джерела, матеріали місцевої преси та фотодокументи; встановити рівень </w:t>
      </w:r>
      <w:proofErr w:type="spellStart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дослідженості</w:t>
      </w:r>
      <w:proofErr w:type="spellEnd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проблеми, знайти та проаналізувати всі наукові джерела на цю тему; обробити от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риманий фактографічний матеріал та впорядкувати інформацію; узагальнити дані про культурно-історичні пам’ятки в контекст місцевої історії; дослідити їх вплив на розвиток міста </w:t>
      </w:r>
      <w:proofErr w:type="spellStart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Мирноград</w:t>
      </w:r>
      <w:proofErr w:type="spellEnd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E053B6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процесі дослідження було застосовано сукупність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принципів історизму, об’єктивності та системності, застосовано загальнонаукові (історичний, логічний, комплексно-аналітичний) та конкретно-історичні (історико-генетичний, синхронний, </w:t>
      </w:r>
      <w:proofErr w:type="spellStart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діахронний</w:t>
      </w:r>
      <w:proofErr w:type="spellEnd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,) методи. </w:t>
      </w:r>
      <w:r w:rsidRPr="00E053B6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дослідження полягає в тому, щоб впе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рше систематизувати  дані про старі будинки міста та зробити екскурс по архітектурним пам’яткам міста </w:t>
      </w:r>
      <w:proofErr w:type="spellStart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Мирноград</w:t>
      </w:r>
      <w:proofErr w:type="spellEnd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Донецької області.</w:t>
      </w:r>
      <w:r w:rsidRPr="00E053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3B6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роботи полягає в тому, що результати дослідження можуть бути використані вчителями, учнями та міськими жит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елями задля того, щоб пізнати історію свого краю; робота покликана окреслити та підкреслити важливі та недостатньо актуалізовані сьогодні архітектурні явища. </w:t>
      </w:r>
    </w:p>
    <w:p w14:paraId="6EC9CA32" w14:textId="77777777" w:rsidR="001333C8" w:rsidRPr="00E053B6" w:rsidRDefault="00C12C19" w:rsidP="00E053B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1.</w:t>
      </w:r>
      <w:r w:rsidRPr="00E05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ЕЛЕКТРОСТАНЦІЯ.</w:t>
      </w:r>
    </w:p>
    <w:p w14:paraId="4E5EE0AA" w14:textId="77777777" w:rsidR="001333C8" w:rsidRPr="00E053B6" w:rsidRDefault="00C12C19" w:rsidP="00E053B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У 1913 році і була «закладена будівля нової будівлі електростанції».  Згідно з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і звітом начальника Гірничого управління південній Росії таємного радника С.М. Сучкова за 1914 рік на Новоекономічному руднику «споруджено будинок електростанції» під три водотрубних котла системи «</w:t>
      </w:r>
      <w:proofErr w:type="spellStart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Фіцнер</w:t>
      </w:r>
      <w:proofErr w:type="spellEnd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Ґампер</w:t>
      </w:r>
      <w:proofErr w:type="spellEnd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із загальною площею поверхні нагріву 675 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квадратних метрів.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Побудована</w:t>
      </w:r>
      <w:r w:rsidRPr="00E053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електростанція повинна була забезпечувати електроенергією шахти Новоекономічного рудника, а також житлові будинки службовців рудника. Будівля електростанції була перебудована в ході реконструкції шахти "Центральна" в 1926-1930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рока. Електростанція була зруйнована в роки Другої Світової війни. Зруйнували її радянські війська перед відступом. Швидше за все, це сталося ще 14 жовтня, коли підірвали надшахтну будівлю «Центральної». Електростанція була повністю відновлена в 1948 році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28DDC761" w14:textId="77777777" w:rsidR="001333C8" w:rsidRPr="00E053B6" w:rsidRDefault="00C12C19" w:rsidP="00E053B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E05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«БУДИНОК  УПРАВЛЯЮЧОГО»</w:t>
      </w:r>
    </w:p>
    <w:p w14:paraId="1069D140" w14:textId="77777777" w:rsidR="00E95671" w:rsidRDefault="00C12C19" w:rsidP="00E053B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вулиці Центральній знаходиться одна з найстаріших будівель в місті </w:t>
      </w:r>
      <w:proofErr w:type="spellStart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Мирноград</w:t>
      </w:r>
      <w:proofErr w:type="spellEnd"/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. Це «Будинок творчості» (під цією назвою він більш відомий жителям міста). У цієї будівлі багата історія, вона – майже ровесник міста.  Будівництв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житла для робітників і службовців на Новоекономічному руднику почалося в 1913 році. В наступному році на руднику з'явилася і перша двоповерхова житлова будівля. </w:t>
      </w:r>
      <w:r w:rsidRPr="00E053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До 1917 року тут мешкали керуючий рудником (звідси поява назви «Будинок управляючого») З 191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 по 1922 (або по 1923) роки тут був готель або Будинок приїжджих. </w:t>
      </w:r>
    </w:p>
    <w:p w14:paraId="5F36A41C" w14:textId="03EC0433" w:rsidR="001333C8" w:rsidRPr="00E053B6" w:rsidRDefault="00C12C19" w:rsidP="00E053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результаті дослідження можна дійти таких </w:t>
      </w:r>
      <w:r w:rsidRPr="00E053B6">
        <w:rPr>
          <w:rFonts w:ascii="Times New Roman" w:hAnsi="Times New Roman" w:cs="Times New Roman"/>
          <w:b/>
          <w:sz w:val="28"/>
          <w:szCs w:val="28"/>
          <w:lang w:val="uk-UA"/>
        </w:rPr>
        <w:t>висновків: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1.  Радянська влада жертвувала красою архітектурну стилю задля швидкого будівництва. 2. За часи Другої світової вій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ні у нашому місті було підірвано багато підприємств, але не окупаційними військами, а саме радянськими. Радянські війська відступаючи підірвали багато будівель підприємств таких, як електростанція, будинок управляючого. З часом їх відновляли, але вже повні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стю втрачаючи той, неповторний стиль та його риси. 3. За часи СРСР пріоритетом було відновлення тяжкої промисловості.  Спочатку до 1950-тих в місті відновили шахти, електростанцію, будівлю гірничого рудоуправління, уже потім будинки місцевих та лікарню, а </w:t>
      </w:r>
      <w:r w:rsidRPr="00E053B6">
        <w:rPr>
          <w:rFonts w:ascii="Times New Roman" w:hAnsi="Times New Roman" w:cs="Times New Roman"/>
          <w:bCs/>
          <w:sz w:val="28"/>
          <w:szCs w:val="28"/>
          <w:lang w:val="uk-UA"/>
        </w:rPr>
        <w:t>в останню чергу культурні установи та Палац культури.</w:t>
      </w:r>
    </w:p>
    <w:sectPr w:rsidR="001333C8" w:rsidRPr="00E053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6CEC" w14:textId="77777777" w:rsidR="00C12C19" w:rsidRDefault="00C12C19">
      <w:pPr>
        <w:spacing w:line="240" w:lineRule="auto"/>
      </w:pPr>
      <w:r>
        <w:separator/>
      </w:r>
    </w:p>
  </w:endnote>
  <w:endnote w:type="continuationSeparator" w:id="0">
    <w:p w14:paraId="66E5DD2C" w14:textId="77777777" w:rsidR="00C12C19" w:rsidRDefault="00C12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8F92" w14:textId="77777777" w:rsidR="00C12C19" w:rsidRDefault="00C12C19">
      <w:pPr>
        <w:spacing w:after="0"/>
      </w:pPr>
      <w:r>
        <w:separator/>
      </w:r>
    </w:p>
  </w:footnote>
  <w:footnote w:type="continuationSeparator" w:id="0">
    <w:p w14:paraId="71E24757" w14:textId="77777777" w:rsidR="00C12C19" w:rsidRDefault="00C12C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2D"/>
    <w:rsid w:val="000101FA"/>
    <w:rsid w:val="00016222"/>
    <w:rsid w:val="000623AA"/>
    <w:rsid w:val="000A123A"/>
    <w:rsid w:val="001333C8"/>
    <w:rsid w:val="00187071"/>
    <w:rsid w:val="001D248B"/>
    <w:rsid w:val="001F30FE"/>
    <w:rsid w:val="00227F1F"/>
    <w:rsid w:val="00261525"/>
    <w:rsid w:val="00264EFA"/>
    <w:rsid w:val="00265AD9"/>
    <w:rsid w:val="002A3A82"/>
    <w:rsid w:val="002A3D66"/>
    <w:rsid w:val="002B29F6"/>
    <w:rsid w:val="002C0CFD"/>
    <w:rsid w:val="002D1678"/>
    <w:rsid w:val="0037216F"/>
    <w:rsid w:val="004151E3"/>
    <w:rsid w:val="00420DE8"/>
    <w:rsid w:val="00425B54"/>
    <w:rsid w:val="00455A87"/>
    <w:rsid w:val="004805EC"/>
    <w:rsid w:val="004904E6"/>
    <w:rsid w:val="004A11DD"/>
    <w:rsid w:val="004B5FBA"/>
    <w:rsid w:val="004C7CEF"/>
    <w:rsid w:val="004D46B4"/>
    <w:rsid w:val="004E215C"/>
    <w:rsid w:val="004F3A34"/>
    <w:rsid w:val="0050128A"/>
    <w:rsid w:val="00523950"/>
    <w:rsid w:val="00551514"/>
    <w:rsid w:val="005814EA"/>
    <w:rsid w:val="00585849"/>
    <w:rsid w:val="00592A5E"/>
    <w:rsid w:val="005B5FF2"/>
    <w:rsid w:val="006138C5"/>
    <w:rsid w:val="00613A3D"/>
    <w:rsid w:val="006A025D"/>
    <w:rsid w:val="006B4CE8"/>
    <w:rsid w:val="006C320C"/>
    <w:rsid w:val="006C7DD7"/>
    <w:rsid w:val="006F5940"/>
    <w:rsid w:val="00713CF1"/>
    <w:rsid w:val="00763439"/>
    <w:rsid w:val="00767A40"/>
    <w:rsid w:val="007878F5"/>
    <w:rsid w:val="0079466C"/>
    <w:rsid w:val="007E3AA8"/>
    <w:rsid w:val="007F16A5"/>
    <w:rsid w:val="00813A92"/>
    <w:rsid w:val="008206F8"/>
    <w:rsid w:val="008255F8"/>
    <w:rsid w:val="00830E00"/>
    <w:rsid w:val="008428D4"/>
    <w:rsid w:val="00845FD1"/>
    <w:rsid w:val="00886ADA"/>
    <w:rsid w:val="008D6008"/>
    <w:rsid w:val="00936275"/>
    <w:rsid w:val="009441ED"/>
    <w:rsid w:val="009637F2"/>
    <w:rsid w:val="009B25B5"/>
    <w:rsid w:val="009B3639"/>
    <w:rsid w:val="009E5667"/>
    <w:rsid w:val="00B05995"/>
    <w:rsid w:val="00B132FF"/>
    <w:rsid w:val="00B50434"/>
    <w:rsid w:val="00B705BA"/>
    <w:rsid w:val="00B70E45"/>
    <w:rsid w:val="00B767AD"/>
    <w:rsid w:val="00BE0929"/>
    <w:rsid w:val="00BE6719"/>
    <w:rsid w:val="00C12C19"/>
    <w:rsid w:val="00C548AE"/>
    <w:rsid w:val="00C55B1C"/>
    <w:rsid w:val="00C60889"/>
    <w:rsid w:val="00C959D2"/>
    <w:rsid w:val="00CA6AE5"/>
    <w:rsid w:val="00D16A2D"/>
    <w:rsid w:val="00D37156"/>
    <w:rsid w:val="00D402C3"/>
    <w:rsid w:val="00D5611F"/>
    <w:rsid w:val="00D85639"/>
    <w:rsid w:val="00E053B6"/>
    <w:rsid w:val="00E10C0A"/>
    <w:rsid w:val="00E42C1B"/>
    <w:rsid w:val="00E44D40"/>
    <w:rsid w:val="00E60AF7"/>
    <w:rsid w:val="00E62457"/>
    <w:rsid w:val="00E64F4A"/>
    <w:rsid w:val="00E769A6"/>
    <w:rsid w:val="00E95671"/>
    <w:rsid w:val="00EF2DB7"/>
    <w:rsid w:val="00F066D9"/>
    <w:rsid w:val="00F06D7A"/>
    <w:rsid w:val="00F126D4"/>
    <w:rsid w:val="00F43DB4"/>
    <w:rsid w:val="00FB684E"/>
    <w:rsid w:val="064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3D55"/>
  <w15:docId w15:val="{B149A51B-5794-48D9-BAA4-724304CA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E05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pPr>
      <w:widowControl w:val="0"/>
      <w:autoSpaceDE w:val="0"/>
      <w:autoSpaceDN w:val="0"/>
      <w:spacing w:after="0" w:line="318" w:lineRule="exact"/>
      <w:ind w:left="3456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widowControl w:val="0"/>
      <w:autoSpaceDE w:val="0"/>
      <w:autoSpaceDN w:val="0"/>
      <w:spacing w:after="0" w:line="240" w:lineRule="auto"/>
      <w:ind w:left="972" w:hanging="286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053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en-US"/>
    </w:rPr>
  </w:style>
  <w:style w:type="paragraph" w:styleId="a5">
    <w:name w:val="Body Text"/>
    <w:basedOn w:val="a"/>
    <w:link w:val="a6"/>
    <w:uiPriority w:val="99"/>
    <w:unhideWhenUsed/>
    <w:rsid w:val="00E05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53B6"/>
    <w:rPr>
      <w:sz w:val="22"/>
      <w:szCs w:val="22"/>
      <w:lang w:val="ru-RU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E053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053B6"/>
    <w:rPr>
      <w:sz w:val="22"/>
      <w:szCs w:val="22"/>
      <w:lang w:val="ru-RU" w:eastAsia="en-US"/>
    </w:rPr>
  </w:style>
  <w:style w:type="paragraph" w:styleId="2">
    <w:name w:val="Body Text First Indent 2"/>
    <w:basedOn w:val="a7"/>
    <w:link w:val="20"/>
    <w:uiPriority w:val="99"/>
    <w:unhideWhenUsed/>
    <w:rsid w:val="00E053B6"/>
    <w:pPr>
      <w:spacing w:after="16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rsid w:val="00E053B6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84E6-6AA2-48B1-A889-7664DACA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Булгаков</dc:creator>
  <cp:lastModifiedBy>Костя Иванов</cp:lastModifiedBy>
  <cp:revision>10</cp:revision>
  <dcterms:created xsi:type="dcterms:W3CDTF">2024-04-13T19:01:00Z</dcterms:created>
  <dcterms:modified xsi:type="dcterms:W3CDTF">2024-04-20T19:18:00Z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355F16300C09458FB9103AC071A8B1BA_12</vt:lpwstr>
  </property>
</Properties>
</file>