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Лихацька Марія</w:t>
      </w:r>
      <w:r w:rsidDel="00000000" w:rsidR="00000000" w:rsidRPr="00000000">
        <w:rPr>
          <w:rFonts w:ascii="Times New Roman" w:cs="Times New Roman" w:eastAsia="Times New Roman" w:hAnsi="Times New Roman"/>
          <w:i w:val="1"/>
          <w:sz w:val="28"/>
          <w:szCs w:val="28"/>
          <w:rtl w:val="0"/>
        </w:rPr>
        <w:t xml:space="preserve">, учениця 9 класу Аркадіївської гімназії Згурівської селищної ради Броварського району Київської області.</w:t>
      </w:r>
    </w:p>
    <w:p w:rsidR="00000000" w:rsidDel="00000000" w:rsidP="00000000" w:rsidRDefault="00000000" w:rsidRPr="00000000" w14:paraId="00000002">
      <w:pPr>
        <w:spacing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Науковий керівник </w:t>
      </w:r>
      <w:r w:rsidDel="00000000" w:rsidR="00000000" w:rsidRPr="00000000">
        <w:rPr>
          <w:rFonts w:ascii="Times New Roman" w:cs="Times New Roman" w:eastAsia="Times New Roman" w:hAnsi="Times New Roman"/>
          <w:b w:val="1"/>
          <w:i w:val="1"/>
          <w:sz w:val="28"/>
          <w:szCs w:val="28"/>
          <w:rtl w:val="0"/>
        </w:rPr>
        <w:t xml:space="preserve">Дернова Любов Антонівна</w:t>
      </w:r>
    </w:p>
    <w:p w:rsidR="00000000" w:rsidDel="00000000" w:rsidP="00000000" w:rsidRDefault="00000000" w:rsidRPr="00000000" w14:paraId="00000003">
      <w:pPr>
        <w:spacing w:line="36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Тема: Освітні артефакти воєнного часу (на прикладі моєї родини)</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початку повномасштабного вторгнення тисячі дітей вимушені були залишити свій дім і шукати порятунку в інших країнах. Перед ними постав непростий вибір: навчатись у двох школах і залишатись в українському освітньому просторі чи відмовитись від української системи освіти. </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дослідженн</w:t>
      </w:r>
      <w:r w:rsidDel="00000000" w:rsidR="00000000" w:rsidRPr="00000000">
        <w:rPr>
          <w:rFonts w:ascii="Times New Roman" w:cs="Times New Roman" w:eastAsia="Times New Roman" w:hAnsi="Times New Roman"/>
          <w:sz w:val="28"/>
          <w:szCs w:val="28"/>
          <w:rtl w:val="0"/>
        </w:rPr>
        <w:t xml:space="preserve">я: </w:t>
      </w:r>
      <w:r w:rsidDel="00000000" w:rsidR="00000000" w:rsidRPr="00000000">
        <w:rPr>
          <w:rFonts w:ascii="Times New Roman" w:cs="Times New Roman" w:eastAsia="Times New Roman" w:hAnsi="Times New Roman"/>
          <w:sz w:val="28"/>
          <w:szCs w:val="28"/>
          <w:rtl w:val="0"/>
        </w:rPr>
        <w:t xml:space="preserve">пошук шляхів збереження національної ідентичності українських дітей-біженців в умовах повномасштабного вторгнення і перебування в іншомовному середовищі та іноземному освітньому контексті.</w:t>
      </w:r>
      <w:r w:rsidDel="00000000" w:rsidR="00000000" w:rsidRPr="00000000">
        <w:rPr>
          <w:rFonts w:ascii="Times New Roman" w:cs="Times New Roman" w:eastAsia="Times New Roman" w:hAnsi="Times New Roman"/>
          <w:sz w:val="28"/>
          <w:szCs w:val="28"/>
          <w:rtl w:val="0"/>
        </w:rPr>
        <w:t xml:space="preserve"> дослідження феномену та ролі освітнього волонтерського руху та дистанційних конкурсів у подолання освітніх втрат та збереженні національної ідентичності за умови знаходження в іншомовному просторі.</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Дослідити феномен освітнього волонтерства і  його внесок у подоланні освітніх втрат серед дітей, що опинились за кордоном (на прикладі міста Хемніц, Німеччина) та роль дистанційних освітніх активностей як комунікаційного фактору в освіті. </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 дослідження</w:t>
      </w:r>
      <w:r w:rsidDel="00000000" w:rsidR="00000000" w:rsidRPr="00000000">
        <w:rPr>
          <w:rFonts w:ascii="Times New Roman" w:cs="Times New Roman" w:eastAsia="Times New Roman" w:hAnsi="Times New Roman"/>
          <w:sz w:val="28"/>
          <w:szCs w:val="28"/>
          <w:rtl w:val="0"/>
        </w:rPr>
        <w:t xml:space="preserve">: освітнє волонтерство і дистанційна освіта в умовах паралельного навчання. </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дослідження</w:t>
      </w:r>
      <w:r w:rsidDel="00000000" w:rsidR="00000000" w:rsidRPr="00000000">
        <w:rPr>
          <w:rFonts w:ascii="Times New Roman" w:cs="Times New Roman" w:eastAsia="Times New Roman" w:hAnsi="Times New Roman"/>
          <w:sz w:val="28"/>
          <w:szCs w:val="28"/>
          <w:rtl w:val="0"/>
        </w:rPr>
        <w:t xml:space="preserve">: волонтерські проєкти, дистанційні конкурси та онлайн-проєкти як спосіб збереження українського освітнього середовища. </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Завдання дослідження</w:t>
      </w:r>
      <w:r w:rsidDel="00000000" w:rsidR="00000000" w:rsidRPr="00000000">
        <w:rPr>
          <w:rFonts w:ascii="Times New Roman" w:cs="Times New Roman" w:eastAsia="Times New Roman" w:hAnsi="Times New Roman"/>
          <w:sz w:val="28"/>
          <w:szCs w:val="28"/>
          <w:rtl w:val="0"/>
        </w:rPr>
        <w:t xml:space="preserve">: 1. Дослідити феномен освітнього волонтерства і його роль в сучасних освітніх процесах. 2.Визначити роль дистанційних освітніх активностей як фактору збереження українського освітнього середовища для дітей, якій вимушено перебувають за кордоном. 3. Побудова власної освітньої траєкторії 4.Дослідження освітніх втрат на прикладі мого інтеграційного класу.</w:t>
      </w:r>
    </w:p>
    <w:p w:rsidR="00000000" w:rsidDel="00000000" w:rsidP="00000000" w:rsidRDefault="00000000" w:rsidRPr="00000000" w14:paraId="0000000A">
      <w:pPr>
        <w:spacing w:line="360" w:lineRule="auto"/>
        <w:ind w:left="-141.7322834645668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w:t>
      </w:r>
      <w:r w:rsidDel="00000000" w:rsidR="00000000" w:rsidRPr="00000000">
        <w:rPr>
          <w:rFonts w:ascii="Times New Roman" w:cs="Times New Roman" w:eastAsia="Times New Roman" w:hAnsi="Times New Roman"/>
          <w:sz w:val="28"/>
          <w:szCs w:val="28"/>
          <w:rtl w:val="0"/>
        </w:rPr>
        <w:t xml:space="preserve">:</w:t>
        <w:br w:type="textWrapping"/>
        <w:t xml:space="preserve">1. Роль освітнього волонтерства у збереженні національної ідентичності </w:t>
      </w:r>
      <w:r w:rsidDel="00000000" w:rsidR="00000000" w:rsidRPr="00000000">
        <w:rPr>
          <w:rFonts w:ascii="Times New Roman" w:cs="Times New Roman" w:eastAsia="Times New Roman" w:hAnsi="Times New Roman"/>
          <w:sz w:val="28"/>
          <w:szCs w:val="28"/>
          <w:rtl w:val="0"/>
        </w:rPr>
        <w:t xml:space="preserve">- дає можливість не лише зберегти свою ідентичність, а і технічну можливість повернутись в українську школу після завершення війни. </w:t>
      </w:r>
    </w:p>
    <w:p w:rsidR="00000000" w:rsidDel="00000000" w:rsidP="00000000" w:rsidRDefault="00000000" w:rsidRPr="00000000" w14:paraId="0000000B">
      <w:pPr>
        <w:spacing w:line="360" w:lineRule="auto"/>
        <w:ind w:left="-141.7322834645668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Паралельне навчання у двох школах в різних країнах, різними мовами, за різними програмами - це новий артефакт військового часу, який ставить нові виклики перед всіма учасниками освітнього процесу.</w:t>
      </w:r>
    </w:p>
    <w:p w:rsidR="00000000" w:rsidDel="00000000" w:rsidP="00000000" w:rsidRDefault="00000000" w:rsidRPr="00000000" w14:paraId="0000000C">
      <w:pPr>
        <w:spacing w:line="360" w:lineRule="auto"/>
        <w:ind w:left="-141.7322834645668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Ініційоване міністром освіти Оксеном Лісовим громадське обговорення дає надію на перегляд умов навчання для дітей, які навчаються у двох школах одночасно. Зберігши національний освітній компонент і звільнивши від повторного вивчення загальних дисциплін, держава може запобігти ще більшому відтоку дітей з українських шкіл. </w:t>
      </w:r>
    </w:p>
    <w:p w:rsidR="00000000" w:rsidDel="00000000" w:rsidP="00000000" w:rsidRDefault="00000000" w:rsidRPr="00000000" w14:paraId="0000000D">
      <w:pPr>
        <w:spacing w:line="360" w:lineRule="auto"/>
        <w:ind w:left="-141.7322834645668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Результати опитування, проведеного серед моїх однокласників свідчать про те, що одним з факторів, який зупинятиме їх від повернення в Україну - відсутність української освіти і можливості продовжити навчання в Україні на основі німецького табелю. </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використаних джерел</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Ковадло. Г. Категоричний імператив // Філософський енциклопедичний словник / В. І. Шинкарук (гол. редкол.) та ін. — Київ : Інститут філософії імені . Григорія Сковороди НАН України : Абрис, 2002. — 742 с. — 1000 екз. — ББК</w:t>
      </w:r>
      <w:r w:rsidDel="00000000" w:rsidR="00000000" w:rsidRPr="00000000">
        <w:rPr>
          <w:rtl w:val="0"/>
        </w:rPr>
      </w:r>
    </w:p>
    <w:p w:rsidR="00000000" w:rsidDel="00000000" w:rsidP="00000000" w:rsidRDefault="00000000" w:rsidRPr="00000000" w14:paraId="00000010">
      <w:pPr>
        <w:shd w:fill="ffffff" w:val="clear"/>
        <w:spacing w:line="339.4285714285714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Яковенко Ю. Проблема артефакту в соціології: Історико-теоретичний формат аналізу // Психологія і суспільство: Укр. наук-екон. та соц.-псих. часопис. — 12/2004. — № 4. — С. 75—94.</w:t>
      </w:r>
    </w:p>
    <w:p w:rsidR="00000000" w:rsidDel="00000000" w:rsidP="00000000" w:rsidRDefault="00000000" w:rsidRPr="00000000" w14:paraId="00000011">
      <w:pPr>
        <w:shd w:fill="ffffff" w:val="clear"/>
        <w:spacing w:line="339.42857142857144" w:lineRule="auto"/>
        <w:jc w:val="both"/>
        <w:rPr>
          <w:rFonts w:ascii="Times New Roman" w:cs="Times New Roman" w:eastAsia="Times New Roman" w:hAnsi="Times New Roman"/>
          <w:sz w:val="28"/>
          <w:szCs w:val="28"/>
          <w:u w:val="single"/>
        </w:rPr>
      </w:pPr>
      <w:hyperlink r:id="rId6">
        <w:r w:rsidDel="00000000" w:rsidR="00000000" w:rsidRPr="00000000">
          <w:rPr>
            <w:rFonts w:ascii="Times New Roman" w:cs="Times New Roman" w:eastAsia="Times New Roman" w:hAnsi="Times New Roman"/>
            <w:color w:val="1155cc"/>
            <w:sz w:val="28"/>
            <w:szCs w:val="28"/>
            <w:u w:val="single"/>
            <w:rtl w:val="0"/>
          </w:rPr>
          <w:t xml:space="preserve">https://zakon.rada.gov.ua/laws/show/z0184-16#Text</w:t>
        </w:r>
      </w:hyperlink>
      <w:r w:rsidDel="00000000" w:rsidR="00000000" w:rsidRPr="00000000">
        <w:rPr>
          <w:rtl w:val="0"/>
        </w:rPr>
      </w:r>
    </w:p>
    <w:p w:rsidR="00000000" w:rsidDel="00000000" w:rsidP="00000000" w:rsidRDefault="00000000" w:rsidRPr="00000000" w14:paraId="00000012">
      <w:pPr>
        <w:shd w:fill="ffffff" w:val="clear"/>
        <w:spacing w:line="339.42857142857144" w:lineRule="auto"/>
        <w:jc w:val="both"/>
        <w:rPr>
          <w:rFonts w:ascii="Times New Roman" w:cs="Times New Roman" w:eastAsia="Times New Roman" w:hAnsi="Times New Roman"/>
          <w:sz w:val="28"/>
          <w:szCs w:val="28"/>
          <w:u w:val="single"/>
        </w:rPr>
      </w:pPr>
      <w:hyperlink r:id="rId7">
        <w:r w:rsidDel="00000000" w:rsidR="00000000" w:rsidRPr="00000000">
          <w:rPr>
            <w:rFonts w:ascii="Times New Roman" w:cs="Times New Roman" w:eastAsia="Times New Roman" w:hAnsi="Times New Roman"/>
            <w:color w:val="1155cc"/>
            <w:sz w:val="28"/>
            <w:szCs w:val="28"/>
            <w:u w:val="single"/>
            <w:rtl w:val="0"/>
          </w:rPr>
          <w:t xml:space="preserve">https://wck.org/story</w:t>
        </w:r>
      </w:hyperlink>
      <w:r w:rsidDel="00000000" w:rsidR="00000000" w:rsidRPr="00000000">
        <w:rPr>
          <w:rtl w:val="0"/>
        </w:rPr>
      </w:r>
    </w:p>
    <w:p w:rsidR="00000000" w:rsidDel="00000000" w:rsidP="00000000" w:rsidRDefault="00000000" w:rsidRPr="00000000" w14:paraId="00000013">
      <w:pPr>
        <w:shd w:fill="ffffff" w:val="clear"/>
        <w:spacing w:line="339.42857142857144" w:lineRule="auto"/>
        <w:jc w:val="both"/>
        <w:rPr>
          <w:rFonts w:ascii="Times New Roman" w:cs="Times New Roman" w:eastAsia="Times New Roman" w:hAnsi="Times New Roman"/>
          <w:sz w:val="28"/>
          <w:szCs w:val="28"/>
          <w:u w:val="single"/>
        </w:rPr>
      </w:pPr>
      <w:hyperlink r:id="rId8">
        <w:r w:rsidDel="00000000" w:rsidR="00000000" w:rsidRPr="00000000">
          <w:rPr>
            <w:rFonts w:ascii="Times New Roman" w:cs="Times New Roman" w:eastAsia="Times New Roman" w:hAnsi="Times New Roman"/>
            <w:color w:val="1155cc"/>
            <w:sz w:val="28"/>
            <w:szCs w:val="28"/>
            <w:u w:val="single"/>
            <w:rtl w:val="0"/>
          </w:rPr>
          <w:t xml:space="preserve">https://nus.org.ua/</w:t>
        </w:r>
      </w:hyperlink>
      <w:r w:rsidDel="00000000" w:rsidR="00000000" w:rsidRPr="00000000">
        <w:rPr>
          <w:rtl w:val="0"/>
        </w:rPr>
      </w:r>
    </w:p>
    <w:p w:rsidR="00000000" w:rsidDel="00000000" w:rsidP="00000000" w:rsidRDefault="00000000" w:rsidRPr="00000000" w14:paraId="00000014">
      <w:pPr>
        <w:shd w:fill="ffffff" w:val="clear"/>
        <w:spacing w:line="339.42857142857144" w:lineRule="auto"/>
        <w:jc w:val="both"/>
        <w:rPr>
          <w:rFonts w:ascii="Times New Roman" w:cs="Times New Roman" w:eastAsia="Times New Roman" w:hAnsi="Times New Roman"/>
          <w:sz w:val="28"/>
          <w:szCs w:val="28"/>
          <w:u w:val="single"/>
        </w:rPr>
      </w:pPr>
      <w:hyperlink r:id="rId9">
        <w:r w:rsidDel="00000000" w:rsidR="00000000" w:rsidRPr="00000000">
          <w:rPr>
            <w:rFonts w:ascii="Times New Roman" w:cs="Times New Roman" w:eastAsia="Times New Roman" w:hAnsi="Times New Roman"/>
            <w:color w:val="1155cc"/>
            <w:sz w:val="28"/>
            <w:szCs w:val="28"/>
            <w:u w:val="single"/>
            <w:rtl w:val="0"/>
          </w:rPr>
          <w:t xml:space="preserve">Освіторія</w:t>
        </w:r>
      </w:hyperlink>
      <w:r w:rsidDel="00000000" w:rsidR="00000000" w:rsidRPr="00000000">
        <w:rPr>
          <w:rtl w:val="0"/>
        </w:rPr>
      </w:r>
    </w:p>
    <w:p w:rsidR="00000000" w:rsidDel="00000000" w:rsidP="00000000" w:rsidRDefault="00000000" w:rsidRPr="00000000" w14:paraId="00000015">
      <w:pPr>
        <w:shd w:fill="ffffff" w:val="clear"/>
        <w:spacing w:line="339.42857142857144" w:lineRule="auto"/>
        <w:jc w:val="both"/>
        <w:rPr>
          <w:rFonts w:ascii="Times New Roman" w:cs="Times New Roman" w:eastAsia="Times New Roman" w:hAnsi="Times New Roman"/>
          <w:sz w:val="28"/>
          <w:szCs w:val="28"/>
          <w:u w:val="single"/>
        </w:rPr>
      </w:pPr>
      <w:hyperlink r:id="rId10">
        <w:r w:rsidDel="00000000" w:rsidR="00000000" w:rsidRPr="00000000">
          <w:rPr>
            <w:rFonts w:ascii="Times New Roman" w:cs="Times New Roman" w:eastAsia="Times New Roman" w:hAnsi="Times New Roman"/>
            <w:color w:val="1155cc"/>
            <w:sz w:val="28"/>
            <w:szCs w:val="28"/>
            <w:u w:val="single"/>
            <w:rtl w:val="0"/>
          </w:rPr>
          <w:t xml:space="preserve">https://www.lachnit-software.de/</w:t>
        </w:r>
      </w:hyperlink>
      <w:r w:rsidDel="00000000" w:rsidR="00000000" w:rsidRPr="00000000">
        <w:rPr>
          <w:rtl w:val="0"/>
        </w:rPr>
      </w:r>
    </w:p>
    <w:p w:rsidR="00000000" w:rsidDel="00000000" w:rsidP="00000000" w:rsidRDefault="00000000" w:rsidRPr="00000000" w14:paraId="00000016">
      <w:pPr>
        <w:shd w:fill="ffffff" w:val="clear"/>
        <w:spacing w:line="339.42857142857144" w:lineRule="auto"/>
        <w:jc w:val="both"/>
        <w:rPr>
          <w:rFonts w:ascii="Times New Roman" w:cs="Times New Roman" w:eastAsia="Times New Roman" w:hAnsi="Times New Roman"/>
          <w:sz w:val="28"/>
          <w:szCs w:val="28"/>
          <w:u w:val="single"/>
        </w:rPr>
      </w:pPr>
      <w:hyperlink r:id="rId11">
        <w:r w:rsidDel="00000000" w:rsidR="00000000" w:rsidRPr="00000000">
          <w:rPr>
            <w:rFonts w:ascii="Times New Roman" w:cs="Times New Roman" w:eastAsia="Times New Roman" w:hAnsi="Times New Roman"/>
            <w:color w:val="1155cc"/>
            <w:sz w:val="28"/>
            <w:szCs w:val="28"/>
            <w:u w:val="single"/>
            <w:rtl w:val="0"/>
          </w:rPr>
          <w:t xml:space="preserve">https://eur-lex.europa.eu/eli/dir/2001/55/oj</w:t>
        </w:r>
      </w:hyperlink>
      <w:r w:rsidDel="00000000" w:rsidR="00000000" w:rsidRPr="00000000">
        <w:rPr>
          <w:rtl w:val="0"/>
        </w:rPr>
      </w:r>
    </w:p>
    <w:p w:rsidR="00000000" w:rsidDel="00000000" w:rsidP="00000000" w:rsidRDefault="00000000" w:rsidRPr="00000000" w14:paraId="00000017">
      <w:pPr>
        <w:shd w:fill="ffffff" w:val="clear"/>
        <w:spacing w:line="339.42857142857144" w:lineRule="auto"/>
        <w:jc w:val="both"/>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color w:val="1155cc"/>
            <w:sz w:val="28"/>
            <w:szCs w:val="28"/>
            <w:u w:val="single"/>
            <w:rtl w:val="0"/>
          </w:rPr>
          <w:t xml:space="preserve">https://www.facebook.com/</w:t>
        </w:r>
      </w:hyperlink>
      <w:r w:rsidDel="00000000" w:rsidR="00000000" w:rsidRPr="00000000">
        <w:rPr>
          <w:rtl w:val="0"/>
        </w:rPr>
      </w:r>
    </w:p>
    <w:sectPr>
      <w:pgSz w:h="16834" w:w="11909" w:orient="portrait"/>
      <w:pgMar w:bottom="823.1102362204729" w:top="1133.8582677165355"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ur-lex.europa.eu/eli/dir/2001/55/oj" TargetMode="External"/><Relationship Id="rId10" Type="http://schemas.openxmlformats.org/officeDocument/2006/relationships/hyperlink" Target="https://www.lachnit-software.de/query/iframe/detail.php?agid=78&amp;styleid=1&amp;frametyp=2&amp;detail=250140" TargetMode="External"/><Relationship Id="rId12" Type="http://schemas.openxmlformats.org/officeDocument/2006/relationships/hyperlink" Target="https://www.facebook.com/permalink.php?story_fbid=743340404169779&amp;id=100054814783029" TargetMode="External"/><Relationship Id="rId9" Type="http://schemas.openxmlformats.org/officeDocument/2006/relationships/hyperlink" Target="https://osvitoria.media/opinions/perezarahuvannya-otsinok-uchniv-shho-navchayutsya-za-kordonom-istoriyi-z-hepi-endom-ta-bez/" TargetMode="External"/><Relationship Id="rId5" Type="http://schemas.openxmlformats.org/officeDocument/2006/relationships/styles" Target="styles.xml"/><Relationship Id="rId6" Type="http://schemas.openxmlformats.org/officeDocument/2006/relationships/hyperlink" Target="https://zakon.rada.gov.ua/laws/show/z0184-16#Text" TargetMode="External"/><Relationship Id="rId7" Type="http://schemas.openxmlformats.org/officeDocument/2006/relationships/hyperlink" Target="https://wck.org/story" TargetMode="External"/><Relationship Id="rId8" Type="http://schemas.openxmlformats.org/officeDocument/2006/relationships/hyperlink" Target="https://nus.org.ua/articles/yak-ukrayinski-uchni-za-kordonom-zakinchyly-pershyj-semestr-v-ukrayinskyh-shkolah-vrazhennya-batkiv-ta-vchytel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