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 ПОПУЛЯЦІЙ РІДКІСНИХ ЛУЧНИХ РОСЛИН ОКОЛИЦЬ ПОДІЛЬСЬКОГО РАЙОНУ М. ПОЛТАВА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Береза Марина Олександрівна,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учениця 10-Б класу комунального закладу «Полтавська загальноосвітня школа І-ІІІ ступенів №2 Полтавської міської ради Полтавської області»</w:t>
      </w:r>
    </w:p>
    <w:p w:rsidR="00000000" w:rsidDel="00000000" w:rsidP="00000000" w:rsidRDefault="00000000" w:rsidRPr="00000000" w14:paraId="00000004">
      <w:pPr>
        <w:tabs>
          <w:tab w:val="left" w:leader="none" w:pos="3525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Полтавське територіальне відділення МАН України</w:t>
      </w:r>
    </w:p>
    <w:p w:rsidR="00000000" w:rsidDel="00000000" w:rsidP="00000000" w:rsidRDefault="00000000" w:rsidRPr="00000000" w14:paraId="00000005">
      <w:pPr>
        <w:tabs>
          <w:tab w:val="left" w:leader="none" w:pos="3525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 Полтава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Науковий керівник: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Топчій Олена Олександрівна, учитель хімії та біології комунального закладу «Полтавська загальноосвітня школа І-ІІІ ступенів №2 Полтавської міської ради Полтавської області»</w:t>
      </w:r>
    </w:p>
    <w:p w:rsidR="00000000" w:rsidDel="00000000" w:rsidP="00000000" w:rsidRDefault="00000000" w:rsidRPr="00000000" w14:paraId="00000007">
      <w:pPr>
        <w:tabs>
          <w:tab w:val="left" w:leader="none" w:pos="3525"/>
        </w:tabs>
        <w:spacing w:after="0" w:line="240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firstLine="68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і завдання дослідження.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Мета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даного дослідження – вивчення стану популяцій рідкісних лучних рослин регіону дослідження.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ind w:firstLine="68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досягнення мети були поставлені наступні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завдання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360" w:lineRule="auto"/>
        <w:ind w:left="0" w:firstLine="681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оцінити стан популяцій рідкісних лучних видів;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360" w:lineRule="auto"/>
        <w:ind w:left="0" w:firstLine="681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дослідити щільність, вікову та просторову структури ценопопуляцій.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ind w:firstLine="68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Об’єктом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дослідження є види рідкісних рослин лучного фітоценозу околиць Подільського району м. Полтава.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Предметом дослідження 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 популяцій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поширення рідкісних лучних рослин.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6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 роботи.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Видовий склад лучної флори визначався польовим методом шляхом закладання пробних ділянок, особливості виявлених рослин в лабораторії за допомогою довідкової літератури.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firstLine="68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Внаслідок вивчення рідкісних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видів трав’янистих рослин околиць Подільського району м. Полтава нами було встановлено, що раритетна фракція нараховує 3 види, які належать до 1 відділу, 1 класу та 3 родин. Всі види відносяться до відділу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Magnoliophyta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, класу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Liliopsida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. До родини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Orchidaceae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належить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Anacamptis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palustris,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Iridaceae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Gladiolus tenuis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Liliaceae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Fritillaria meleagroides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Проективне покриття рідкісних рослин лучного фітоценозу дорівнює 7-10%. </w:t>
      </w:r>
    </w:p>
    <w:p w:rsidR="00000000" w:rsidDel="00000000" w:rsidP="00000000" w:rsidRDefault="00000000" w:rsidRPr="00000000" w14:paraId="0000000F">
      <w:pPr>
        <w:spacing w:after="0" w:line="360" w:lineRule="auto"/>
        <w:ind w:firstLine="68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із важливих показників ценопопуляції є її щільність. Максимальна щільність популяції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Anacamptis palustris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дорівнює 5 особин на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Цей вид розташовується на вологих луках. Проективне покриття тільки рослин виду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A. Palustris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становить 3–4%. Просторова структура популяцій компактно-дифузного типу [1].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Вікова структура даної популяції мала всі можливі стадії (латентна, віргінільна, іматурна, генеративна та сенільна). Отже, за рис. 1 у популяції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Anacamptis palustris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протягом 2019-2021 років переважаючими у віковій структурі є молоді особини (j, im, v).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0</wp:posOffset>
            </wp:positionV>
            <wp:extent cx="3181350" cy="175260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2487" l="0" r="0" t="-248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0" w:line="360" w:lineRule="auto"/>
        <w:ind w:firstLine="68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Індивідуальний показник проективного покриття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Gladiolus tenuis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вивченій ділянці становить 4–5%. Просторова структура популяцій дифузного типу. Середня щільність даної популяції – 6 ос./м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[2].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-54609</wp:posOffset>
            </wp:positionH>
            <wp:positionV relativeFrom="paragraph">
              <wp:posOffset>913764</wp:posOffset>
            </wp:positionV>
            <wp:extent cx="3182620" cy="1757045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757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Вікові спектри виду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G. tenuis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дослідженій території характеризуються чітко вираженими максимумами на іматурних та віргінільних особинах (рис. 2). Отже, популяція даного виду є нещільною.  Являє собою розріджені особини. Щільність популяції зменшилася із 7 до 5 ос./м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[1,2].</w:t>
      </w:r>
    </w:p>
    <w:p w:rsidR="00000000" w:rsidDel="00000000" w:rsidP="00000000" w:rsidRDefault="00000000" w:rsidRPr="00000000" w14:paraId="00000013">
      <w:pPr>
        <w:spacing w:after="0" w:line="360" w:lineRule="auto"/>
        <w:ind w:firstLine="68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Середня кількість особин виду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Fritillaria meleagroides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протягом 2019-2021 років до фази цвітіння дорівнює 12 штук. Просторова структура компактно–дифузного типу. Аналіз вікових спектрів показує що переважаючими протягом трьох років були віргінільні особини (v) – 36% серед всіх стадій. Як і в інших видів молоді особини (p, j, im, v) були більш чисельними ніж зрілі (g+s) (рис. 3) [1]. Максимальна щільність популяції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F. meleagroides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дорівнює 4 особин на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3128645</wp:posOffset>
            </wp:positionH>
            <wp:positionV relativeFrom="paragraph">
              <wp:posOffset>616585</wp:posOffset>
            </wp:positionV>
            <wp:extent cx="3162300" cy="1648637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486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Список використаних джерел: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Криворучко Т.В. Еколого-ценотичні особливості рідкісних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ефемероїдів Полтавщини // Екологія. Біологічні науки. – Полтава,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2004. Вип. 4 (37). – С. 174-180.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Єлін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Ю. 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Рослини луків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 і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боліт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 / Ю. 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Єлін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М. М. Грисюк. - К. : Радянська школа,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1991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 - 221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с.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17.3228346456694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