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52E7" w14:textId="77777777" w:rsidR="00406482" w:rsidRDefault="00D01E61" w:rsidP="00D01E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1E61">
        <w:rPr>
          <w:rFonts w:ascii="Times New Roman" w:hAnsi="Times New Roman"/>
          <w:b/>
          <w:sz w:val="28"/>
          <w:szCs w:val="28"/>
          <w:lang w:val="uk-UA"/>
        </w:rPr>
        <w:t>ЕСЕ</w:t>
      </w:r>
    </w:p>
    <w:p w14:paraId="5A7470D0" w14:textId="77777777" w:rsidR="00087C5B" w:rsidRDefault="00087C5B" w:rsidP="00D01E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тему: «О</w:t>
      </w:r>
      <w:r w:rsidRPr="00087C5B">
        <w:rPr>
          <w:rFonts w:ascii="Times New Roman" w:hAnsi="Times New Roman"/>
          <w:b/>
          <w:sz w:val="28"/>
          <w:szCs w:val="28"/>
          <w:lang w:val="uk-UA"/>
        </w:rPr>
        <w:t xml:space="preserve">бґрунтування параметрів вибору опріснюючої установки </w:t>
      </w:r>
    </w:p>
    <w:p w14:paraId="4018B002" w14:textId="77777777" w:rsidR="00087C5B" w:rsidRDefault="00087C5B" w:rsidP="00D01E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7C5B">
        <w:rPr>
          <w:rFonts w:ascii="Times New Roman" w:hAnsi="Times New Roman"/>
          <w:b/>
          <w:sz w:val="28"/>
          <w:szCs w:val="28"/>
          <w:lang w:val="uk-UA"/>
        </w:rPr>
        <w:t>на базі технології зворотного осмосу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0E250B68" w14:textId="77777777" w:rsidR="00087C5B" w:rsidRDefault="00087C5B" w:rsidP="00D01E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учениці 10Б класу КЗО «СЗШ №54» ДМР</w:t>
      </w:r>
    </w:p>
    <w:p w14:paraId="3E333D9E" w14:textId="77777777" w:rsidR="00BB23A5" w:rsidRDefault="00BB23A5" w:rsidP="00D01E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Івашини Варвари Олександрівни</w:t>
      </w:r>
    </w:p>
    <w:p w14:paraId="4ECFB003" w14:textId="77777777" w:rsidR="00BB23A5" w:rsidRPr="00D01E61" w:rsidRDefault="00BB23A5" w:rsidP="0026403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0A04639" w14:textId="77777777" w:rsidR="00264033" w:rsidRDefault="00E867D5" w:rsidP="002640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Вода – </w:t>
      </w:r>
      <w:r w:rsidR="004155B0" w:rsidRPr="00D01E61">
        <w:rPr>
          <w:rFonts w:ascii="Times New Roman" w:hAnsi="Times New Roman"/>
          <w:sz w:val="28"/>
          <w:szCs w:val="28"/>
          <w:lang w:val="uk-UA"/>
        </w:rPr>
        <w:t>найважливіш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4155B0" w:rsidRPr="00D01E61">
        <w:rPr>
          <w:rFonts w:ascii="Times New Roman" w:hAnsi="Times New Roman"/>
          <w:sz w:val="28"/>
          <w:szCs w:val="28"/>
          <w:lang w:val="uk-UA"/>
        </w:rPr>
        <w:t xml:space="preserve"> ресурс </w:t>
      </w:r>
      <w:r w:rsidRPr="00E867D5">
        <w:rPr>
          <w:rFonts w:ascii="Times New Roman" w:hAnsi="Times New Roman"/>
          <w:sz w:val="28"/>
          <w:szCs w:val="28"/>
          <w:lang w:val="uk-UA"/>
        </w:rPr>
        <w:t>людського існування</w:t>
      </w:r>
      <w:r>
        <w:rPr>
          <w:rFonts w:ascii="Times New Roman" w:hAnsi="Times New Roman"/>
          <w:sz w:val="28"/>
          <w:szCs w:val="28"/>
          <w:lang w:val="uk-UA"/>
        </w:rPr>
        <w:t>. На теперішній час</w:t>
      </w:r>
      <w:r w:rsidR="004155B0" w:rsidRPr="00D01E61">
        <w:rPr>
          <w:rFonts w:ascii="Times New Roman" w:hAnsi="Times New Roman"/>
          <w:sz w:val="28"/>
          <w:szCs w:val="28"/>
          <w:lang w:val="uk-UA"/>
        </w:rPr>
        <w:t xml:space="preserve"> стає очевидним важливість її раціональної та енергоефективної експлуатації і розуміння проблеми щодо її використання та збереження якості. </w:t>
      </w:r>
    </w:p>
    <w:p w14:paraId="6FB2B818" w14:textId="77777777" w:rsidR="00264033" w:rsidRDefault="00D01E61" w:rsidP="002640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1E61">
        <w:rPr>
          <w:rFonts w:ascii="Times New Roman" w:hAnsi="Times New Roman"/>
          <w:sz w:val="28"/>
          <w:szCs w:val="28"/>
          <w:lang w:val="uk-UA"/>
        </w:rPr>
        <w:t>Підземними водами Україна задовольняє лише 25% своїх потреб, поверхневими – 75%, тоді як для країн Європейського Союзу використання підземних вод може досягати 90% від загального використання водного ресурсу. Це обумовлено тим, що підземні води, на відміну від поверхневих, вирізняються сталістю своє якості та вищою відновлюваністю водоносних джерел.</w:t>
      </w:r>
      <w:r w:rsidR="00E867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64D642F" w14:textId="77777777" w:rsidR="00E867D5" w:rsidRPr="00E867D5" w:rsidRDefault="00E867D5" w:rsidP="002640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67D5">
        <w:rPr>
          <w:rFonts w:ascii="Times New Roman" w:hAnsi="Times New Roman"/>
          <w:sz w:val="28"/>
          <w:szCs w:val="28"/>
          <w:lang w:val="uk-UA"/>
        </w:rPr>
        <w:t xml:space="preserve">Загалом, поступовий перехід України до стандартів ЄС та інших розвинутих країн із року в рік змінюватиме тенденцію використання, нагляду та скиду забруднюючих речовин у водні об’єкти. Розподіл водного використання підземних вод в Україні, країні яка вважається малозабезпечена водними ресурсами, неминуче зсунеться в сторону використання та нарощування видобутку з підземних водних джерел. </w:t>
      </w:r>
    </w:p>
    <w:p w14:paraId="52093577" w14:textId="77777777" w:rsidR="00E867D5" w:rsidRPr="00E867D5" w:rsidRDefault="00E867D5" w:rsidP="002640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67D5">
        <w:rPr>
          <w:rFonts w:ascii="Times New Roman" w:hAnsi="Times New Roman"/>
          <w:sz w:val="28"/>
          <w:szCs w:val="28"/>
          <w:lang w:val="uk-UA"/>
        </w:rPr>
        <w:t xml:space="preserve">Таким чином, аналіз та використання сучасних технологій демінералізації та знесолення стічних </w:t>
      </w:r>
      <w:r>
        <w:rPr>
          <w:rFonts w:ascii="Times New Roman" w:hAnsi="Times New Roman"/>
          <w:sz w:val="28"/>
          <w:szCs w:val="28"/>
          <w:lang w:val="uk-UA"/>
        </w:rPr>
        <w:t xml:space="preserve">та підземних </w:t>
      </w:r>
      <w:r w:rsidRPr="00E867D5">
        <w:rPr>
          <w:rFonts w:ascii="Times New Roman" w:hAnsi="Times New Roman"/>
          <w:sz w:val="28"/>
          <w:szCs w:val="28"/>
          <w:lang w:val="uk-UA"/>
        </w:rPr>
        <w:t>вод є актуальною соціально-економічною проблемою та науковою задачею по розрахунку та підбору опріснюючого</w:t>
      </w:r>
      <w:r w:rsidRPr="00E867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867D5">
        <w:rPr>
          <w:rFonts w:ascii="Times New Roman" w:hAnsi="Times New Roman"/>
          <w:sz w:val="28"/>
          <w:szCs w:val="28"/>
          <w:lang w:val="uk-UA"/>
        </w:rPr>
        <w:t xml:space="preserve">обладнання. </w:t>
      </w:r>
    </w:p>
    <w:p w14:paraId="465500A1" w14:textId="77777777" w:rsidR="00784C12" w:rsidRPr="00D01E61" w:rsidRDefault="00570B70" w:rsidP="002640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 значення наукової роботи полягає в</w:t>
      </w:r>
      <w:r w:rsidR="004155B0" w:rsidRPr="00D01E61">
        <w:rPr>
          <w:rFonts w:ascii="Times New Roman" w:hAnsi="Times New Roman"/>
          <w:b/>
          <w:sz w:val="28"/>
          <w:szCs w:val="28"/>
          <w:lang w:val="uk-UA"/>
        </w:rPr>
        <w:t xml:space="preserve"> розробці методики вибору потужностей опріснюючого обладнання в залежності від об’єму водозабору, її використанні при плануванні собівартості та капітальних інвестицій у промисловий опріснюючий комплекс. </w:t>
      </w:r>
    </w:p>
    <w:p w14:paraId="4605F7A1" w14:textId="77777777" w:rsidR="00311BB2" w:rsidRPr="00D01E61" w:rsidRDefault="00784C12" w:rsidP="002640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1E61">
        <w:rPr>
          <w:rFonts w:ascii="Times New Roman" w:hAnsi="Times New Roman"/>
          <w:sz w:val="28"/>
          <w:szCs w:val="28"/>
          <w:lang w:val="uk-UA"/>
        </w:rPr>
        <w:t>Основним параметром ефективності та раціональності використання того чи іншого опріснювального методу полягає у питомому та загальному споживанні електроенергії на кубічний метр отриманого продукту.</w:t>
      </w:r>
      <w:r w:rsidR="00562E0F" w:rsidRPr="00D01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D4E">
        <w:rPr>
          <w:rFonts w:ascii="Times New Roman" w:hAnsi="Times New Roman"/>
          <w:sz w:val="28"/>
          <w:szCs w:val="28"/>
          <w:lang w:val="uk-UA"/>
        </w:rPr>
        <w:t>П</w:t>
      </w:r>
      <w:r w:rsidR="00562E0F" w:rsidRPr="00D01E61">
        <w:rPr>
          <w:rFonts w:ascii="Times New Roman" w:hAnsi="Times New Roman"/>
          <w:sz w:val="28"/>
          <w:szCs w:val="28"/>
          <w:lang w:val="uk-UA"/>
        </w:rPr>
        <w:t>ереважна більшість наукових робіт і практичного досвіду свідчить про раціональне використання дистилюючих методів опріснення високомінералізованої води.</w:t>
      </w:r>
      <w:r w:rsidR="00505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BB2" w:rsidRPr="00D01E61">
        <w:rPr>
          <w:rFonts w:ascii="Times New Roman" w:hAnsi="Times New Roman"/>
          <w:sz w:val="28"/>
          <w:szCs w:val="28"/>
          <w:lang w:val="uk-UA"/>
        </w:rPr>
        <w:t xml:space="preserve">Головним конкурентом технології зворотного осмосу залишається електродіаліз. Розглядаючи систему електродіалізу, важливо визначитись з метою опріснення, </w:t>
      </w:r>
      <w:r w:rsidR="00311BB2" w:rsidRPr="00D01E61">
        <w:rPr>
          <w:rFonts w:ascii="Times New Roman" w:hAnsi="Times New Roman"/>
          <w:sz w:val="28"/>
          <w:szCs w:val="28"/>
          <w:lang w:val="uk-UA"/>
        </w:rPr>
        <w:lastRenderedPageBreak/>
        <w:t xml:space="preserve">адже електродіаліз поодинці не здатний до повного очищення води від механічних домішок та бактерій. Задача, поставлена у </w:t>
      </w:r>
      <w:r w:rsidR="00505D4E">
        <w:rPr>
          <w:rFonts w:ascii="Times New Roman" w:hAnsi="Times New Roman"/>
          <w:sz w:val="28"/>
          <w:szCs w:val="28"/>
          <w:lang w:val="uk-UA"/>
        </w:rPr>
        <w:t>науковій</w:t>
      </w:r>
      <w:r w:rsidR="00311BB2" w:rsidRPr="00D01E61">
        <w:rPr>
          <w:rFonts w:ascii="Times New Roman" w:hAnsi="Times New Roman"/>
          <w:sz w:val="28"/>
          <w:szCs w:val="28"/>
          <w:lang w:val="uk-UA"/>
        </w:rPr>
        <w:t xml:space="preserve"> роботі, складається у доведенні високомінералізованих вод до питної якості з мінімальними вторинними відходами промислового опріснення.</w:t>
      </w:r>
      <w:r w:rsidR="00D62E8D" w:rsidRPr="00D01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BB2" w:rsidRPr="00D01E61">
        <w:rPr>
          <w:rFonts w:ascii="Times New Roman" w:hAnsi="Times New Roman"/>
          <w:sz w:val="28"/>
          <w:szCs w:val="28"/>
          <w:lang w:val="uk-UA"/>
        </w:rPr>
        <w:t>Електродіаліз є досить вдалим методом з точки зору споживання електроенергії та виходу пермеату, але дослідження зазначають, що доцільним є використання на невеликих та середніх потужностях починаючи від об’ємів &lt;100 м</w:t>
      </w:r>
      <w:r w:rsidR="00311BB2" w:rsidRPr="00505D4E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311BB2" w:rsidRPr="00D01E61">
        <w:rPr>
          <w:rFonts w:ascii="Times New Roman" w:hAnsi="Times New Roman"/>
          <w:sz w:val="28"/>
          <w:szCs w:val="28"/>
          <w:lang w:val="uk-UA"/>
        </w:rPr>
        <w:t>/д до більш ніж 20000 м</w:t>
      </w:r>
      <w:r w:rsidR="00311BB2" w:rsidRPr="00505D4E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311BB2" w:rsidRPr="00D01E61">
        <w:rPr>
          <w:rFonts w:ascii="Times New Roman" w:hAnsi="Times New Roman"/>
          <w:sz w:val="28"/>
          <w:szCs w:val="28"/>
          <w:lang w:val="uk-UA"/>
        </w:rPr>
        <w:t>/д, а також із засоленістю солонуватої води від 1000 до 5000 мг/л сухого залишку . Однак, з огляду на стартову планку п</w:t>
      </w:r>
      <w:r w:rsidR="003A0715" w:rsidRPr="00D01E61">
        <w:rPr>
          <w:rFonts w:ascii="Times New Roman" w:hAnsi="Times New Roman"/>
          <w:sz w:val="28"/>
          <w:szCs w:val="28"/>
          <w:lang w:val="uk-UA"/>
        </w:rPr>
        <w:t>р</w:t>
      </w:r>
      <w:r w:rsidR="00311BB2" w:rsidRPr="00D01E61">
        <w:rPr>
          <w:rFonts w:ascii="Times New Roman" w:hAnsi="Times New Roman"/>
          <w:sz w:val="28"/>
          <w:szCs w:val="28"/>
          <w:lang w:val="uk-UA"/>
        </w:rPr>
        <w:t>оєкту у понад 24000 м</w:t>
      </w:r>
      <w:r w:rsidR="00311BB2" w:rsidRPr="00505D4E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311BB2" w:rsidRPr="00D01E61">
        <w:rPr>
          <w:rFonts w:ascii="Times New Roman" w:hAnsi="Times New Roman"/>
          <w:sz w:val="28"/>
          <w:szCs w:val="28"/>
          <w:lang w:val="uk-UA"/>
        </w:rPr>
        <w:t>/д, потенціал до розширення, подальшого можливого збільшення потужностей виробництва, концентрацію солей, яка може досягати ˃ 7-8 г/л сухого залишку, повне очищення води від біологічних домішок через найменші пори мембран (&lt;0,001м) електродіаліз стає на межу своєї доцільності, вимагає більших капіталовкладень, додаткового обладнання для доведення води до стану питної, а також заміну іонообмінних мембран, які частіше дорожчі за мембрани розроблені для осмотичного тиску.</w:t>
      </w:r>
    </w:p>
    <w:p w14:paraId="6DF9BED7" w14:textId="77777777" w:rsidR="00505D4E" w:rsidRPr="00505D4E" w:rsidRDefault="00505D4E" w:rsidP="002640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5D4E">
        <w:rPr>
          <w:rFonts w:ascii="Times New Roman" w:hAnsi="Times New Roman"/>
          <w:b/>
          <w:sz w:val="28"/>
          <w:szCs w:val="28"/>
          <w:lang w:val="uk-UA"/>
        </w:rPr>
        <w:t xml:space="preserve">Наукова новизна </w:t>
      </w:r>
      <w:r w:rsidR="00BE6F7A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 w:rsidRPr="00505D4E">
        <w:rPr>
          <w:rFonts w:ascii="Times New Roman" w:hAnsi="Times New Roman"/>
          <w:b/>
          <w:sz w:val="28"/>
          <w:szCs w:val="28"/>
          <w:lang w:val="uk-UA"/>
        </w:rPr>
        <w:t>полягає у застосуванні промислов</w:t>
      </w:r>
      <w:r w:rsidR="00C24D21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505D4E">
        <w:rPr>
          <w:rFonts w:ascii="Times New Roman" w:hAnsi="Times New Roman"/>
          <w:b/>
          <w:sz w:val="28"/>
          <w:szCs w:val="28"/>
          <w:lang w:val="uk-UA"/>
        </w:rPr>
        <w:t xml:space="preserve"> комплекс</w:t>
      </w:r>
      <w:r w:rsidR="00C24D21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505D4E">
        <w:rPr>
          <w:rFonts w:ascii="Times New Roman" w:hAnsi="Times New Roman"/>
          <w:b/>
          <w:sz w:val="28"/>
          <w:szCs w:val="28"/>
          <w:lang w:val="uk-UA"/>
        </w:rPr>
        <w:t xml:space="preserve"> фільтрації високомінералізованих вод методом зворотного осмосу відповідно до географічних, хімічних, економічних</w:t>
      </w:r>
      <w:r w:rsidR="006015A0">
        <w:rPr>
          <w:rFonts w:ascii="Times New Roman" w:hAnsi="Times New Roman"/>
          <w:b/>
          <w:sz w:val="28"/>
          <w:szCs w:val="28"/>
          <w:lang w:val="uk-UA"/>
        </w:rPr>
        <w:t>,</w:t>
      </w:r>
      <w:r w:rsidRPr="00505D4E">
        <w:rPr>
          <w:rFonts w:ascii="Times New Roman" w:hAnsi="Times New Roman"/>
          <w:b/>
          <w:sz w:val="28"/>
          <w:szCs w:val="28"/>
          <w:lang w:val="uk-UA"/>
        </w:rPr>
        <w:t xml:space="preserve"> геологічних параметрів в залежності від місцевого водного навантаження та за умов нестачі водних ресурсів у регіоні.</w:t>
      </w:r>
    </w:p>
    <w:p w14:paraId="211B38C4" w14:textId="77777777" w:rsidR="00D62E8D" w:rsidRPr="00D01E61" w:rsidRDefault="00311BB2" w:rsidP="002640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1E61">
        <w:rPr>
          <w:rFonts w:ascii="Times New Roman" w:hAnsi="Times New Roman"/>
          <w:sz w:val="28"/>
          <w:szCs w:val="28"/>
          <w:lang w:val="uk-UA"/>
        </w:rPr>
        <w:t>На основі зазначених умов було обрано зворотній осмос, як комплексну опріснювальну систему, яка відповідає необхідним параметрам та є універсальною технологією, з великим світовим досвідом використання (60% всього світового опріснюючого обладнання використовує зворотній осмос і лише 6% - технологію електрод</w:t>
      </w:r>
      <w:r w:rsidR="00C24D21">
        <w:rPr>
          <w:rFonts w:ascii="Times New Roman" w:hAnsi="Times New Roman"/>
          <w:sz w:val="28"/>
          <w:szCs w:val="28"/>
          <w:lang w:val="uk-UA"/>
        </w:rPr>
        <w:t xml:space="preserve">іалізу) у різноманітних умовах. </w:t>
      </w:r>
      <w:r w:rsidR="008446C8" w:rsidRPr="00D01E61">
        <w:rPr>
          <w:rFonts w:ascii="Times New Roman" w:hAnsi="Times New Roman"/>
          <w:sz w:val="28"/>
          <w:szCs w:val="28"/>
          <w:lang w:val="uk-UA"/>
        </w:rPr>
        <w:t>У роботі пропонується розглянути практичний приклад скидання водних ресурсів на шахті «ім. Сташкова», адже шахта є найбільш обводненою у Західному Донбасі. Водоприток шахти досягає 1600 м</w:t>
      </w:r>
      <w:r w:rsidR="008446C8" w:rsidRPr="00C24D21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8446C8" w:rsidRPr="00D01E61">
        <w:rPr>
          <w:rFonts w:ascii="Times New Roman" w:hAnsi="Times New Roman"/>
          <w:sz w:val="28"/>
          <w:szCs w:val="28"/>
          <w:lang w:val="uk-UA"/>
        </w:rPr>
        <w:t>/год у певні проміжки часу, загалом водоприток шахти коливається в межах 1200 м</w:t>
      </w:r>
      <w:r w:rsidR="008446C8" w:rsidRPr="00C24D21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8446C8" w:rsidRPr="00D01E61">
        <w:rPr>
          <w:rFonts w:ascii="Times New Roman" w:hAnsi="Times New Roman"/>
          <w:sz w:val="28"/>
          <w:szCs w:val="28"/>
          <w:lang w:val="uk-UA"/>
        </w:rPr>
        <w:t>/год, що є колосальним об’ємом стічних вод з лише одного видобувного підприємства. Зворотній осмос, як система досить чутлива до хімічного та фізичного стану водного ресурсу, вимагає певної первинної обробки води перед її безпосереднім живленням до установки.</w:t>
      </w:r>
      <w:r w:rsidR="00C24D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A6A" w:rsidRPr="00D01E61">
        <w:rPr>
          <w:rFonts w:ascii="Times New Roman" w:hAnsi="Times New Roman"/>
          <w:sz w:val="28"/>
          <w:szCs w:val="28"/>
          <w:lang w:val="uk-UA"/>
        </w:rPr>
        <w:t xml:space="preserve">Експлуатаційна готовність вказує на відношення робочих годин системи, в які система готова до експлуатації, до спроектованої кількості робочих годин. При коефіцієнті , у робочих годинах цей еквівалент дорівнює 877 годин на рік. Тимчасове призупинення роботи може бути пов’язано із заміною мембран, проведенням </w:t>
      </w:r>
      <w:r w:rsidR="007C0A6A" w:rsidRPr="00D01E61">
        <w:rPr>
          <w:rFonts w:ascii="Times New Roman" w:hAnsi="Times New Roman"/>
          <w:sz w:val="28"/>
          <w:szCs w:val="28"/>
          <w:lang w:val="uk-UA"/>
        </w:rPr>
        <w:lastRenderedPageBreak/>
        <w:t>очистки та хімічної обробки, технічне обслуговування. Коефіцієнт непередбачуваних витрат був закладений у розмірі 10%.</w:t>
      </w:r>
    </w:p>
    <w:p w14:paraId="2C5D7805" w14:textId="77777777" w:rsidR="00D62E8D" w:rsidRPr="00D01E61" w:rsidRDefault="007C0A6A" w:rsidP="002640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1E61">
        <w:rPr>
          <w:rFonts w:ascii="Times New Roman" w:hAnsi="Times New Roman"/>
          <w:sz w:val="28"/>
          <w:szCs w:val="28"/>
          <w:lang w:val="uk-UA"/>
        </w:rPr>
        <w:t>Враховуючи питомі витрати електроенергії, ціну промислової одиниці на одиницю продукції, та економічні показники, можна вирахувати очікувану собівартість опріснення 28800 м</w:t>
      </w:r>
      <w:r w:rsidRPr="00C24D21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D01E61">
        <w:rPr>
          <w:rFonts w:ascii="Times New Roman" w:hAnsi="Times New Roman"/>
          <w:sz w:val="28"/>
          <w:szCs w:val="28"/>
          <w:lang w:val="uk-UA"/>
        </w:rPr>
        <w:t xml:space="preserve"> води на годину.</w:t>
      </w:r>
    </w:p>
    <w:p w14:paraId="18D20FDE" w14:textId="77777777" w:rsidR="00264033" w:rsidRDefault="00264033" w:rsidP="002640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DB76607" w14:textId="77777777" w:rsidR="00D62E8D" w:rsidRPr="00D01E61" w:rsidRDefault="00D62E8D" w:rsidP="002640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01E61">
        <w:rPr>
          <w:rFonts w:ascii="Times New Roman" w:hAnsi="Times New Roman"/>
          <w:sz w:val="28"/>
          <w:szCs w:val="28"/>
          <w:lang w:val="uk-UA"/>
        </w:rPr>
        <w:t>Основні показники кошторису станції демінералізації та водного опріснення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6623"/>
        <w:gridCol w:w="2402"/>
      </w:tblGrid>
      <w:tr w:rsidR="009C0873" w:rsidRPr="009C0873" w14:paraId="10736EBC" w14:textId="77777777" w:rsidTr="009C0873">
        <w:trPr>
          <w:trHeight w:val="390"/>
        </w:trPr>
        <w:tc>
          <w:tcPr>
            <w:tcW w:w="851" w:type="dxa"/>
            <w:shd w:val="clear" w:color="auto" w:fill="auto"/>
            <w:vAlign w:val="center"/>
            <w:hideMark/>
          </w:tcPr>
          <w:p w14:paraId="0FD20518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C0873">
              <w:rPr>
                <w:b/>
                <w:sz w:val="28"/>
                <w:szCs w:val="28"/>
                <w:lang w:val="uk-UA"/>
              </w:rPr>
              <w:t>№</w:t>
            </w:r>
            <w:r w:rsidR="00264033" w:rsidRPr="009C0873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662" w:type="dxa"/>
            <w:shd w:val="clear" w:color="auto" w:fill="auto"/>
            <w:hideMark/>
          </w:tcPr>
          <w:p w14:paraId="071A2870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C0873">
              <w:rPr>
                <w:b/>
                <w:sz w:val="28"/>
                <w:szCs w:val="28"/>
                <w:lang w:val="uk-UA"/>
              </w:rPr>
              <w:t>Економічні параметри</w:t>
            </w:r>
          </w:p>
        </w:tc>
        <w:tc>
          <w:tcPr>
            <w:tcW w:w="2410" w:type="dxa"/>
            <w:shd w:val="clear" w:color="auto" w:fill="auto"/>
            <w:hideMark/>
          </w:tcPr>
          <w:p w14:paraId="118E0571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C0873">
              <w:rPr>
                <w:b/>
                <w:sz w:val="28"/>
                <w:szCs w:val="28"/>
                <w:lang w:val="uk-UA"/>
              </w:rPr>
              <w:t>Зворотній осмос</w:t>
            </w:r>
          </w:p>
        </w:tc>
      </w:tr>
      <w:tr w:rsidR="009C0873" w:rsidRPr="009C0873" w14:paraId="363B194C" w14:textId="77777777" w:rsidTr="009C0873">
        <w:trPr>
          <w:trHeight w:val="378"/>
        </w:trPr>
        <w:tc>
          <w:tcPr>
            <w:tcW w:w="851" w:type="dxa"/>
            <w:shd w:val="clear" w:color="auto" w:fill="auto"/>
            <w:vAlign w:val="center"/>
            <w:hideMark/>
          </w:tcPr>
          <w:p w14:paraId="376BDBFE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  <w:shd w:val="clear" w:color="auto" w:fill="auto"/>
            <w:hideMark/>
          </w:tcPr>
          <w:p w14:paraId="3FE373DE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Термін виконання робіт</w:t>
            </w:r>
          </w:p>
        </w:tc>
        <w:tc>
          <w:tcPr>
            <w:tcW w:w="2410" w:type="dxa"/>
            <w:shd w:val="clear" w:color="auto" w:fill="auto"/>
            <w:hideMark/>
          </w:tcPr>
          <w:p w14:paraId="13E0E843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12 місяців</w:t>
            </w:r>
          </w:p>
        </w:tc>
      </w:tr>
      <w:tr w:rsidR="009C0873" w:rsidRPr="009C0873" w14:paraId="1BD5E145" w14:textId="77777777" w:rsidTr="009C0873">
        <w:trPr>
          <w:trHeight w:val="390"/>
        </w:trPr>
        <w:tc>
          <w:tcPr>
            <w:tcW w:w="851" w:type="dxa"/>
            <w:shd w:val="clear" w:color="auto" w:fill="auto"/>
            <w:vAlign w:val="center"/>
            <w:hideMark/>
          </w:tcPr>
          <w:p w14:paraId="144652FA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  <w:shd w:val="clear" w:color="auto" w:fill="auto"/>
            <w:hideMark/>
          </w:tcPr>
          <w:p w14:paraId="68E9F68B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Термін експлуатації підприємства</w:t>
            </w:r>
          </w:p>
        </w:tc>
        <w:tc>
          <w:tcPr>
            <w:tcW w:w="2410" w:type="dxa"/>
            <w:shd w:val="clear" w:color="auto" w:fill="auto"/>
            <w:hideMark/>
          </w:tcPr>
          <w:p w14:paraId="72A41566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20 років</w:t>
            </w:r>
          </w:p>
        </w:tc>
      </w:tr>
      <w:tr w:rsidR="009C0873" w:rsidRPr="009C0873" w14:paraId="6C663851" w14:textId="77777777" w:rsidTr="009C0873">
        <w:trPr>
          <w:trHeight w:val="390"/>
        </w:trPr>
        <w:tc>
          <w:tcPr>
            <w:tcW w:w="851" w:type="dxa"/>
            <w:shd w:val="clear" w:color="auto" w:fill="auto"/>
            <w:vAlign w:val="center"/>
            <w:hideMark/>
          </w:tcPr>
          <w:p w14:paraId="772FC73D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  <w:shd w:val="clear" w:color="auto" w:fill="auto"/>
            <w:hideMark/>
          </w:tcPr>
          <w:p w14:paraId="7EFB71AF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Експлуатаційна готовність</w:t>
            </w:r>
          </w:p>
        </w:tc>
        <w:tc>
          <w:tcPr>
            <w:tcW w:w="2410" w:type="dxa"/>
            <w:shd w:val="clear" w:color="auto" w:fill="auto"/>
            <w:hideMark/>
          </w:tcPr>
          <w:p w14:paraId="0F45309A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90%</w:t>
            </w:r>
          </w:p>
        </w:tc>
      </w:tr>
      <w:tr w:rsidR="009C0873" w:rsidRPr="009C0873" w14:paraId="2FAAEE15" w14:textId="77777777" w:rsidTr="009C0873">
        <w:trPr>
          <w:trHeight w:val="378"/>
        </w:trPr>
        <w:tc>
          <w:tcPr>
            <w:tcW w:w="851" w:type="dxa"/>
            <w:shd w:val="clear" w:color="auto" w:fill="auto"/>
            <w:vAlign w:val="center"/>
            <w:hideMark/>
          </w:tcPr>
          <w:p w14:paraId="288B7A5B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  <w:shd w:val="clear" w:color="auto" w:fill="auto"/>
            <w:hideMark/>
          </w:tcPr>
          <w:p w14:paraId="09E1C383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both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Заробітна плата менеджменту</w:t>
            </w:r>
          </w:p>
        </w:tc>
        <w:tc>
          <w:tcPr>
            <w:tcW w:w="2410" w:type="dxa"/>
            <w:shd w:val="clear" w:color="auto" w:fill="auto"/>
            <w:hideMark/>
          </w:tcPr>
          <w:p w14:paraId="351632E3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25000 $/рік</w:t>
            </w:r>
          </w:p>
        </w:tc>
      </w:tr>
      <w:tr w:rsidR="009C0873" w:rsidRPr="009C0873" w14:paraId="4C270561" w14:textId="77777777" w:rsidTr="009C0873">
        <w:trPr>
          <w:trHeight w:val="390"/>
        </w:trPr>
        <w:tc>
          <w:tcPr>
            <w:tcW w:w="851" w:type="dxa"/>
            <w:shd w:val="clear" w:color="auto" w:fill="auto"/>
            <w:vAlign w:val="center"/>
            <w:hideMark/>
          </w:tcPr>
          <w:p w14:paraId="4B7C5745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  <w:shd w:val="clear" w:color="auto" w:fill="auto"/>
            <w:hideMark/>
          </w:tcPr>
          <w:p w14:paraId="7C2CE261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 xml:space="preserve">Заробітна плата персоналу </w:t>
            </w:r>
          </w:p>
        </w:tc>
        <w:tc>
          <w:tcPr>
            <w:tcW w:w="2410" w:type="dxa"/>
            <w:shd w:val="clear" w:color="auto" w:fill="auto"/>
            <w:hideMark/>
          </w:tcPr>
          <w:p w14:paraId="60F5AE27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13000 $/рік</w:t>
            </w:r>
          </w:p>
        </w:tc>
      </w:tr>
      <w:tr w:rsidR="009C0873" w:rsidRPr="009C0873" w14:paraId="4AFA4EFA" w14:textId="77777777" w:rsidTr="009C0873">
        <w:trPr>
          <w:trHeight w:val="390"/>
        </w:trPr>
        <w:tc>
          <w:tcPr>
            <w:tcW w:w="851" w:type="dxa"/>
            <w:shd w:val="clear" w:color="auto" w:fill="auto"/>
            <w:vAlign w:val="center"/>
            <w:hideMark/>
          </w:tcPr>
          <w:p w14:paraId="100633B5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  <w:shd w:val="clear" w:color="auto" w:fill="auto"/>
            <w:hideMark/>
          </w:tcPr>
          <w:p w14:paraId="58FA5595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Витрати виробництва на одиницю продукції</w:t>
            </w:r>
          </w:p>
        </w:tc>
        <w:tc>
          <w:tcPr>
            <w:tcW w:w="2410" w:type="dxa"/>
            <w:shd w:val="clear" w:color="auto" w:fill="auto"/>
            <w:hideMark/>
          </w:tcPr>
          <w:p w14:paraId="16B22320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900 $/м</w:t>
            </w:r>
            <w:r w:rsidRPr="009C0873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9C0873">
              <w:rPr>
                <w:sz w:val="28"/>
                <w:szCs w:val="28"/>
                <w:lang w:val="uk-UA"/>
              </w:rPr>
              <w:t>/д</w:t>
            </w:r>
          </w:p>
        </w:tc>
      </w:tr>
      <w:tr w:rsidR="009C0873" w:rsidRPr="009C0873" w14:paraId="5B391E4D" w14:textId="77777777" w:rsidTr="009C0873">
        <w:trPr>
          <w:trHeight w:val="378"/>
        </w:trPr>
        <w:tc>
          <w:tcPr>
            <w:tcW w:w="851" w:type="dxa"/>
            <w:shd w:val="clear" w:color="auto" w:fill="auto"/>
            <w:vAlign w:val="center"/>
            <w:hideMark/>
          </w:tcPr>
          <w:p w14:paraId="7FB4AA2D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2" w:type="dxa"/>
            <w:shd w:val="clear" w:color="auto" w:fill="auto"/>
            <w:hideMark/>
          </w:tcPr>
          <w:p w14:paraId="50F18CFD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Питомі витрати на експлуатацію та обслуговування</w:t>
            </w:r>
          </w:p>
        </w:tc>
        <w:tc>
          <w:tcPr>
            <w:tcW w:w="2410" w:type="dxa"/>
            <w:shd w:val="clear" w:color="auto" w:fill="auto"/>
            <w:hideMark/>
          </w:tcPr>
          <w:p w14:paraId="5DBA9D80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0,03 $/м</w:t>
            </w:r>
            <w:r w:rsidRPr="009C0873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9C0873" w:rsidRPr="009C0873" w14:paraId="08F70291" w14:textId="77777777" w:rsidTr="009C0873">
        <w:trPr>
          <w:trHeight w:val="390"/>
        </w:trPr>
        <w:tc>
          <w:tcPr>
            <w:tcW w:w="851" w:type="dxa"/>
            <w:shd w:val="clear" w:color="auto" w:fill="auto"/>
            <w:vAlign w:val="center"/>
            <w:hideMark/>
          </w:tcPr>
          <w:p w14:paraId="394C51E8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662" w:type="dxa"/>
            <w:shd w:val="clear" w:color="auto" w:fill="auto"/>
            <w:hideMark/>
          </w:tcPr>
          <w:p w14:paraId="3FEEF444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Питомі витрати на хімікалії та попередню очистку</w:t>
            </w:r>
          </w:p>
        </w:tc>
        <w:tc>
          <w:tcPr>
            <w:tcW w:w="2410" w:type="dxa"/>
            <w:shd w:val="clear" w:color="auto" w:fill="auto"/>
            <w:hideMark/>
          </w:tcPr>
          <w:p w14:paraId="4D1DBD61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0,05 $/м</w:t>
            </w:r>
            <w:r w:rsidRPr="009C0873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9C0873" w:rsidRPr="009C0873" w14:paraId="7A965F3C" w14:textId="77777777" w:rsidTr="009C0873">
        <w:trPr>
          <w:trHeight w:val="390"/>
        </w:trPr>
        <w:tc>
          <w:tcPr>
            <w:tcW w:w="851" w:type="dxa"/>
            <w:shd w:val="clear" w:color="auto" w:fill="auto"/>
            <w:vAlign w:val="center"/>
            <w:hideMark/>
          </w:tcPr>
          <w:p w14:paraId="072A1D5E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62" w:type="dxa"/>
            <w:shd w:val="clear" w:color="auto" w:fill="auto"/>
            <w:hideMark/>
          </w:tcPr>
          <w:p w14:paraId="75B54476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Питомі витрати на очистку</w:t>
            </w:r>
          </w:p>
        </w:tc>
        <w:tc>
          <w:tcPr>
            <w:tcW w:w="2410" w:type="dxa"/>
            <w:shd w:val="clear" w:color="auto" w:fill="auto"/>
            <w:hideMark/>
          </w:tcPr>
          <w:p w14:paraId="46104E3D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0,02 $/м</w:t>
            </w:r>
            <w:r w:rsidRPr="009C0873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9C0873" w:rsidRPr="009C0873" w14:paraId="131BF3EC" w14:textId="77777777" w:rsidTr="009C0873">
        <w:trPr>
          <w:trHeight w:val="378"/>
        </w:trPr>
        <w:tc>
          <w:tcPr>
            <w:tcW w:w="851" w:type="dxa"/>
            <w:shd w:val="clear" w:color="auto" w:fill="auto"/>
            <w:vAlign w:val="center"/>
            <w:hideMark/>
          </w:tcPr>
          <w:p w14:paraId="75D08245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662" w:type="dxa"/>
            <w:shd w:val="clear" w:color="auto" w:fill="auto"/>
            <w:hideMark/>
          </w:tcPr>
          <w:p w14:paraId="5B228C79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 xml:space="preserve">Питомі витрати на заміну мембран </w:t>
            </w:r>
          </w:p>
        </w:tc>
        <w:tc>
          <w:tcPr>
            <w:tcW w:w="2410" w:type="dxa"/>
            <w:shd w:val="clear" w:color="auto" w:fill="auto"/>
            <w:hideMark/>
          </w:tcPr>
          <w:p w14:paraId="5773DE17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0,09 $/м</w:t>
            </w:r>
            <w:r w:rsidRPr="009C0873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9C0873" w:rsidRPr="009C0873" w14:paraId="204A8102" w14:textId="77777777" w:rsidTr="009C0873">
        <w:trPr>
          <w:trHeight w:val="390"/>
        </w:trPr>
        <w:tc>
          <w:tcPr>
            <w:tcW w:w="851" w:type="dxa"/>
            <w:shd w:val="clear" w:color="auto" w:fill="auto"/>
            <w:vAlign w:val="center"/>
            <w:hideMark/>
          </w:tcPr>
          <w:p w14:paraId="326956DD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662" w:type="dxa"/>
            <w:shd w:val="clear" w:color="auto" w:fill="auto"/>
            <w:hideMark/>
          </w:tcPr>
          <w:p w14:paraId="0E36239F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Вартість життєвого циклу</w:t>
            </w:r>
          </w:p>
        </w:tc>
        <w:tc>
          <w:tcPr>
            <w:tcW w:w="2410" w:type="dxa"/>
            <w:shd w:val="clear" w:color="auto" w:fill="auto"/>
            <w:hideMark/>
          </w:tcPr>
          <w:p w14:paraId="4E013B3D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5%</w:t>
            </w:r>
          </w:p>
        </w:tc>
      </w:tr>
      <w:tr w:rsidR="009C0873" w:rsidRPr="009C0873" w14:paraId="78B2EB4B" w14:textId="77777777" w:rsidTr="009C0873">
        <w:trPr>
          <w:trHeight w:val="390"/>
        </w:trPr>
        <w:tc>
          <w:tcPr>
            <w:tcW w:w="851" w:type="dxa"/>
            <w:shd w:val="clear" w:color="auto" w:fill="auto"/>
            <w:vAlign w:val="center"/>
            <w:hideMark/>
          </w:tcPr>
          <w:p w14:paraId="6543E824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662" w:type="dxa"/>
            <w:shd w:val="clear" w:color="auto" w:fill="auto"/>
            <w:hideMark/>
          </w:tcPr>
          <w:p w14:paraId="792D92AD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Коефіцієнт непередбачуваних витрат</w:t>
            </w:r>
          </w:p>
        </w:tc>
        <w:tc>
          <w:tcPr>
            <w:tcW w:w="2410" w:type="dxa"/>
            <w:shd w:val="clear" w:color="auto" w:fill="auto"/>
            <w:hideMark/>
          </w:tcPr>
          <w:p w14:paraId="646102BD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10%</w:t>
            </w:r>
          </w:p>
        </w:tc>
      </w:tr>
      <w:tr w:rsidR="009C0873" w:rsidRPr="009C0873" w14:paraId="39E2BF99" w14:textId="77777777" w:rsidTr="009C0873">
        <w:trPr>
          <w:trHeight w:val="390"/>
        </w:trPr>
        <w:tc>
          <w:tcPr>
            <w:tcW w:w="851" w:type="dxa"/>
            <w:shd w:val="clear" w:color="auto" w:fill="auto"/>
            <w:vAlign w:val="center"/>
            <w:hideMark/>
          </w:tcPr>
          <w:p w14:paraId="02F985E6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662" w:type="dxa"/>
            <w:shd w:val="clear" w:color="auto" w:fill="auto"/>
            <w:hideMark/>
          </w:tcPr>
          <w:p w14:paraId="39928087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Страхування</w:t>
            </w:r>
          </w:p>
        </w:tc>
        <w:tc>
          <w:tcPr>
            <w:tcW w:w="2410" w:type="dxa"/>
            <w:shd w:val="clear" w:color="auto" w:fill="auto"/>
            <w:hideMark/>
          </w:tcPr>
          <w:p w14:paraId="445988D2" w14:textId="77777777" w:rsidR="00D62E8D" w:rsidRPr="009C0873" w:rsidRDefault="00D62E8D" w:rsidP="009C0873">
            <w:pPr>
              <w:pStyle w:val="a4"/>
              <w:spacing w:before="0" w:beforeAutospacing="0" w:after="0" w:line="276" w:lineRule="auto"/>
              <w:rPr>
                <w:sz w:val="28"/>
                <w:szCs w:val="28"/>
                <w:lang w:val="uk-UA"/>
              </w:rPr>
            </w:pPr>
            <w:r w:rsidRPr="009C0873">
              <w:rPr>
                <w:sz w:val="28"/>
                <w:szCs w:val="28"/>
                <w:lang w:val="uk-UA"/>
              </w:rPr>
              <w:t>1%</w:t>
            </w:r>
          </w:p>
        </w:tc>
      </w:tr>
    </w:tbl>
    <w:p w14:paraId="4ADD2C38" w14:textId="77777777" w:rsidR="00D62E8D" w:rsidRPr="00D01E61" w:rsidRDefault="00D62E8D" w:rsidP="002640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F63FCE" w14:textId="77777777" w:rsidR="00784C12" w:rsidRPr="00D01E61" w:rsidRDefault="00087C5B" w:rsidP="002640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о</w:t>
      </w:r>
      <w:r w:rsidR="00D62E8D" w:rsidRPr="00D01E61">
        <w:rPr>
          <w:rFonts w:ascii="Times New Roman" w:hAnsi="Times New Roman"/>
          <w:sz w:val="28"/>
          <w:szCs w:val="28"/>
          <w:lang w:val="uk-UA"/>
        </w:rPr>
        <w:t>сновним параметром оцінки ефективності технологічного методу було обрано питоме споживання електроенергії на 1 м</w:t>
      </w:r>
      <w:r w:rsidRPr="00087C5B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D62E8D" w:rsidRPr="00D01E61">
        <w:rPr>
          <w:rFonts w:ascii="Times New Roman" w:hAnsi="Times New Roman"/>
          <w:sz w:val="28"/>
          <w:szCs w:val="28"/>
          <w:lang w:val="uk-UA"/>
        </w:rPr>
        <w:t xml:space="preserve"> продукту. </w:t>
      </w:r>
      <w:r>
        <w:rPr>
          <w:rFonts w:ascii="Times New Roman" w:hAnsi="Times New Roman"/>
          <w:sz w:val="28"/>
          <w:szCs w:val="28"/>
          <w:lang w:val="uk-UA"/>
        </w:rPr>
        <w:t>Було встановлено, що д</w:t>
      </w:r>
      <w:r w:rsidR="00D62E8D" w:rsidRPr="00D01E61">
        <w:rPr>
          <w:rFonts w:ascii="Times New Roman" w:hAnsi="Times New Roman"/>
          <w:sz w:val="28"/>
          <w:szCs w:val="28"/>
          <w:lang w:val="uk-UA"/>
        </w:rPr>
        <w:t xml:space="preserve">ля повноцінного та ефективного використання зворотного осмосу, необхідно проводити комплекс робіт із попередньої очистки, екранування, коагуляції та флокуляції, пом’якшення та седиментації (відстоювання) води. </w:t>
      </w:r>
    </w:p>
    <w:sectPr w:rsidR="00784C12" w:rsidRPr="00D01E61" w:rsidSect="00BE6F7A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90DE4"/>
    <w:multiLevelType w:val="multilevel"/>
    <w:tmpl w:val="260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6202B"/>
    <w:multiLevelType w:val="multilevel"/>
    <w:tmpl w:val="8E38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15EB2"/>
    <w:multiLevelType w:val="multilevel"/>
    <w:tmpl w:val="278E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7092D"/>
    <w:multiLevelType w:val="multilevel"/>
    <w:tmpl w:val="782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02B9F"/>
    <w:multiLevelType w:val="multilevel"/>
    <w:tmpl w:val="6D16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5B0"/>
    <w:rsid w:val="00087C5B"/>
    <w:rsid w:val="00264033"/>
    <w:rsid w:val="00311BB2"/>
    <w:rsid w:val="003A0715"/>
    <w:rsid w:val="00406482"/>
    <w:rsid w:val="004155B0"/>
    <w:rsid w:val="00505D4E"/>
    <w:rsid w:val="00562E0F"/>
    <w:rsid w:val="00570B70"/>
    <w:rsid w:val="006015A0"/>
    <w:rsid w:val="00784C12"/>
    <w:rsid w:val="007C0A6A"/>
    <w:rsid w:val="008446C8"/>
    <w:rsid w:val="009C0873"/>
    <w:rsid w:val="00BB23A5"/>
    <w:rsid w:val="00BE6F7A"/>
    <w:rsid w:val="00C24D21"/>
    <w:rsid w:val="00D01E61"/>
    <w:rsid w:val="00D62E8D"/>
    <w:rsid w:val="00E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EF493"/>
  <w14:defaultImageDpi w14:val="0"/>
  <w15:docId w15:val="{760CA0BC-B912-4015-9339-79700CA2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1BB2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unhideWhenUsed/>
    <w:rsid w:val="00311B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D6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DFA23-D00C-4B1C-9F35-7DE96BDD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2023-04-02T14:18:00Z</dcterms:created>
  <dcterms:modified xsi:type="dcterms:W3CDTF">2023-04-02T14:18:00Z</dcterms:modified>
</cp:coreProperties>
</file>