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E1FD" w14:textId="3DC3487F" w:rsidR="001C2A7F" w:rsidRPr="001C2A7F" w:rsidRDefault="001C2A7F" w:rsidP="001C2A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Дніпропетровське </w:t>
      </w:r>
      <w:r w:rsidRPr="001C2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територіальне відділення Малої академії наук України</w:t>
      </w:r>
    </w:p>
    <w:p w14:paraId="30B28C37" w14:textId="77777777" w:rsidR="001C2A7F" w:rsidRPr="001C2A7F" w:rsidRDefault="001C2A7F" w:rsidP="001C2A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Тези до науково-дослідницької роботи</w:t>
      </w:r>
    </w:p>
    <w:p w14:paraId="4CB9E3A2" w14:textId="7DDACDE0" w:rsidR="001C2A7F" w:rsidRPr="001C2A7F" w:rsidRDefault="001C2A7F" w:rsidP="001C2A7F">
      <w:pPr>
        <w:shd w:val="clear" w:color="auto" w:fill="FFFFFF"/>
        <w:spacing w:after="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A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Модель шлюбу української шляхти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XVI</w:t>
      </w:r>
      <w:r w:rsidRPr="001C2A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– першої половини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століття</w:t>
      </w:r>
      <w:r w:rsidRPr="001C2A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14:paraId="125EACE6" w14:textId="09294505" w:rsidR="001C2A7F" w:rsidRPr="001C2A7F" w:rsidRDefault="001C2A7F" w:rsidP="00787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Симон Катерини Ігорівни</w:t>
      </w:r>
      <w:r w:rsidRPr="001C2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учениці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1C2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КЗО «Науковий медичний ліцей «Дніпро» ДОР»</w:t>
      </w:r>
    </w:p>
    <w:p w14:paraId="4CE88E4D" w14:textId="5EFFE8A2" w:rsidR="001C2A7F" w:rsidRPr="001C2A7F" w:rsidRDefault="001C2A7F" w:rsidP="00787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Науковий керівник</w:t>
      </w:r>
      <w:r w:rsidRPr="001C2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1C2A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C2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Каюк Світлана Миколаївна, кандидат історичних наук, доцент кафедри Історії України Дніпровського національного університету імені Олеся Гончара                                                         </w:t>
      </w:r>
    </w:p>
    <w:p w14:paraId="5435CD97" w14:textId="4E5FFF16" w:rsidR="001C2A7F" w:rsidRPr="001C2A7F" w:rsidRDefault="001C2A7F" w:rsidP="0078736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1C2A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а: </w:t>
      </w: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реконструювати ідеальну модель шлюбних стосунків української шляхти та можливі варіанти її порушення, виписані у Литовському Статуті.</w:t>
      </w:r>
    </w:p>
    <w:p w14:paraId="3905F717" w14:textId="04521327" w:rsidR="001C2A7F" w:rsidRPr="001C2A7F" w:rsidRDefault="001C2A7F" w:rsidP="001C2A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ru-RU"/>
        </w:rPr>
        <w:t>Реалізація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мети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ru-RU"/>
        </w:rPr>
        <w:t>поляга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 у вирішенні конкретних </w:t>
      </w:r>
      <w:r w:rsidRPr="003565B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завдань:</w:t>
      </w:r>
    </w:p>
    <w:p w14:paraId="34E51069" w14:textId="3C7C4426" w:rsidR="001C2A7F" w:rsidRPr="001C2A7F" w:rsidRDefault="001C2A7F" w:rsidP="001C2A7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Дослідити артикули усіх трьох редакцій Литовських статутів,  регулюючих  шлюбні стосунки шляхти та проаналізув</w:t>
      </w:r>
      <w:r w:rsidR="003106B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ти вже існуючу літературу на цю тему.</w:t>
      </w:r>
    </w:p>
    <w:p w14:paraId="52B36AEE" w14:textId="77777777" w:rsidR="001C2A7F" w:rsidRPr="001C2A7F" w:rsidRDefault="001C2A7F" w:rsidP="001C2A7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Розглянути види шляхетського шлюбу, шлюбні стратегії та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передшлюбні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домовини.</w:t>
      </w:r>
    </w:p>
    <w:p w14:paraId="4819FDAF" w14:textId="77777777" w:rsidR="001C2A7F" w:rsidRPr="001C2A7F" w:rsidRDefault="001C2A7F" w:rsidP="001C2A7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Проаналізувати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віновий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запис: особливості формування документу. </w:t>
      </w:r>
    </w:p>
    <w:p w14:paraId="2825F885" w14:textId="77777777" w:rsidR="001C2A7F" w:rsidRPr="001C2A7F" w:rsidRDefault="001C2A7F" w:rsidP="001C2A7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Здійснити аналіз жіночого посагу: порядок призначення (виписування), посагові реєстри.</w:t>
      </w:r>
    </w:p>
    <w:p w14:paraId="53BBC6E7" w14:textId="77777777" w:rsidR="001C2A7F" w:rsidRPr="001C2A7F" w:rsidRDefault="001C2A7F" w:rsidP="001C2A7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Показати умови скасування шлюбу у світських та духовних судах</w:t>
      </w:r>
    </w:p>
    <w:p w14:paraId="65CA7BC9" w14:textId="22D746FC" w:rsidR="001C2A7F" w:rsidRDefault="001C2A7F" w:rsidP="001C2A7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Окреслити правовий статус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вдови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420C2CD" w14:textId="1CE483D9" w:rsidR="003106BB" w:rsidRPr="00BF527C" w:rsidRDefault="003106BB" w:rsidP="0031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5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proofErr w:type="spellStart"/>
      <w:r w:rsidRPr="003565BB">
        <w:rPr>
          <w:rFonts w:ascii="Times New Roman" w:hAnsi="Times New Roman" w:cs="Times New Roman"/>
          <w:b/>
          <w:bCs/>
          <w:sz w:val="28"/>
          <w:szCs w:val="28"/>
        </w:rPr>
        <w:t>Об’єктом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виписані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редакціях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Литовського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Статуту: 1529, 1566 та 1588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>.</w:t>
      </w:r>
    </w:p>
    <w:p w14:paraId="57DE1514" w14:textId="77777777" w:rsidR="003106BB" w:rsidRPr="00BF527C" w:rsidRDefault="003106BB" w:rsidP="0031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65BB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ідеальна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шлюбних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шляхти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закріплена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Литовськими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Статутами </w:t>
      </w:r>
      <w:r w:rsidRPr="003106BB">
        <w:rPr>
          <w:rFonts w:ascii="Times New Roman" w:hAnsi="Times New Roman" w:cs="Times New Roman"/>
          <w:sz w:val="28"/>
          <w:szCs w:val="28"/>
        </w:rPr>
        <w:t>XVI</w:t>
      </w:r>
      <w:r w:rsidRPr="00BF52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527C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BF527C">
        <w:rPr>
          <w:rFonts w:ascii="Times New Roman" w:hAnsi="Times New Roman" w:cs="Times New Roman"/>
          <w:sz w:val="28"/>
          <w:szCs w:val="28"/>
        </w:rPr>
        <w:t xml:space="preserve"> </w:t>
      </w:r>
      <w:r w:rsidRPr="003106BB">
        <w:rPr>
          <w:rFonts w:ascii="Times New Roman" w:hAnsi="Times New Roman" w:cs="Times New Roman"/>
          <w:sz w:val="28"/>
          <w:szCs w:val="28"/>
        </w:rPr>
        <w:t>XVII</w:t>
      </w:r>
      <w:r w:rsidRPr="00BF527C">
        <w:rPr>
          <w:rFonts w:ascii="Times New Roman" w:hAnsi="Times New Roman" w:cs="Times New Roman"/>
          <w:sz w:val="28"/>
          <w:szCs w:val="28"/>
        </w:rPr>
        <w:t>.</w:t>
      </w:r>
    </w:p>
    <w:p w14:paraId="37CAF01D" w14:textId="77777777" w:rsidR="003106BB" w:rsidRPr="001C2A7F" w:rsidRDefault="003106BB" w:rsidP="003106B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33FD77" w14:textId="4965C434" w:rsidR="001C2A7F" w:rsidRPr="001C2A7F" w:rsidRDefault="001C2A7F" w:rsidP="001C2A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Відповідно до поставленої мети і завдань дослідження використовувались загальнонаукові (аналізу та синтезу, дедукції та індукції, аналогії) та історичні (історико-порівняльний, історико-системний, історико-типологічний, історико-генетичний) </w:t>
      </w:r>
      <w:r w:rsidRPr="003565B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методи</w:t>
      </w: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дослідження.</w:t>
      </w:r>
    </w:p>
    <w:p w14:paraId="1B2A9F6E" w14:textId="082F9344" w:rsidR="001C2A7F" w:rsidRDefault="001C2A7F" w:rsidP="003565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EA6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565B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Актуальність:</w:t>
      </w: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65BB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станнім часом в соціальній історії відбулося оновлення теоретико-методологічного апарату і розширення предметного поля</w:t>
      </w:r>
      <w:r w:rsidR="003565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досліджень, що в свою чергу привело до становлення нових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субдисциплін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одна з  яких - гендерна історія. Дослідники гендерної історії вважають, що для того, щоб побачити цілісну картинку функціонування суспільства певної доби необхідно закцентувати увагу на взаєминах між статями в контексті соціальних стосунків. Саме тому тема роботи присвячена дослідженню процесу формування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ru-RU"/>
        </w:rPr>
        <w:t>шлюбних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ru-RU"/>
        </w:rPr>
        <w:t>стосунків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ru-RU"/>
        </w:rPr>
        <w:t>шляхти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65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ранньомодерного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соціума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За останні роки чимало українських істориків та правників зверталися до вивчення різних аспектів життя українського суспільства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ранньомодерної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доби. Однак здебільшого дослідники розглядали питання, пов’язані із правовою організацією міських громад. Менше уваги приділялося різним антропологічним аспектам, у тому числі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антропологічно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-правовим. Одним із них є питання шлюбних стосунків української еліти, а саме шляхти, на тлі головної події цих років - укладання Литовських статутів, як юридичної основи спочатку Великого князівства Литовського, а після 1569 р. і Речі Посполитої. </w:t>
      </w:r>
      <w:r w:rsidRPr="001C2A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14:paraId="21D88751" w14:textId="0C1F07F4" w:rsidR="001C2A7F" w:rsidRPr="001C2A7F" w:rsidRDefault="001C2A7F" w:rsidP="001C2A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A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106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Дана робота присвячена регулюванню шлюбних стосунків української шляхти нормами Литовського Статуту, який діяв на українських землях спочатку у складі Великого князівства Литовського а потім Речі Посполитої. У дослідженні аналізуються насамперед особливості формування артикулів стосовно шлюбу у трьох редакціях Литовського Статуту: 1529, 1566 та 1588 років, переведені та надруковані українською мовою Одеською юридичною академією та Волинські грамоти </w:t>
      </w:r>
      <w:r w:rsidRPr="001C2A7F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століття. </w:t>
      </w:r>
    </w:p>
    <w:p w14:paraId="0ACBF22A" w14:textId="77777777" w:rsidR="001C2A7F" w:rsidRPr="001C2A7F" w:rsidRDefault="001C2A7F" w:rsidP="001C2A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У першому розділі досліджуються особливості укладання шлюбу,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передшлюбні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домовини: шлюбний вік,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віновий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запис та посаг, зазначені законодавством. У другому розділі розглядаються види шляхетських шлюбів: міжнаціональні, міжконфесійні, подвійні шлюби, шлюби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незаможніх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 та шлюби між родичами. Третій розділ присвячений аналізу особливостей скасування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щляхетських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шлюбів у світських та духовних судах та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охарактерзуванні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правового статусу </w:t>
      </w:r>
      <w:proofErr w:type="spellStart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вдови</w:t>
      </w:r>
      <w:proofErr w:type="spellEnd"/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1C2A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68BBD312" w14:textId="01F5AFCC" w:rsidR="003106BB" w:rsidRDefault="001C2A7F" w:rsidP="001C2A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A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</w:t>
      </w:r>
      <w:r w:rsidR="0078736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1C2A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Висновки:</w:t>
      </w:r>
      <w:r w:rsidRPr="001C2A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14:paraId="58B3FE32" w14:textId="2D5566A9" w:rsidR="003106BB" w:rsidRPr="003565BB" w:rsidRDefault="003106BB" w:rsidP="003565BB">
      <w:pPr>
        <w:pStyle w:val="a3"/>
        <w:numPr>
          <w:ilvl w:val="0"/>
          <w:numId w:val="2"/>
        </w:numPr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Перший статут мав два основні розділи </w:t>
      </w:r>
      <w:r w:rsidRPr="003565BB">
        <w:rPr>
          <w:rStyle w:val="fontstyle21"/>
          <w:rFonts w:ascii="Times New Roman" w:hAnsi="Times New Roman" w:cs="Times New Roman"/>
          <w:sz w:val="28"/>
          <w:szCs w:val="28"/>
        </w:rPr>
        <w:t xml:space="preserve">(IV, V) </w:t>
      </w: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які врегульовували сімейне право.</w:t>
      </w:r>
    </w:p>
    <w:p w14:paraId="0F6E0740" w14:textId="49BC7F90" w:rsidR="003106BB" w:rsidRPr="003565BB" w:rsidRDefault="003106BB" w:rsidP="003565BB">
      <w:pPr>
        <w:pStyle w:val="a3"/>
        <w:numPr>
          <w:ilvl w:val="0"/>
          <w:numId w:val="2"/>
        </w:numPr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Литовський Статут</w:t>
      </w:r>
      <w:r w:rsidRPr="003565B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565BB">
        <w:rPr>
          <w:rStyle w:val="fontstyle21"/>
          <w:rFonts w:ascii="Times New Roman" w:hAnsi="Times New Roman" w:cs="Times New Roman"/>
          <w:sz w:val="28"/>
          <w:szCs w:val="28"/>
        </w:rPr>
        <w:t xml:space="preserve">1566 </w:t>
      </w:r>
      <w:r w:rsidRPr="003565BB">
        <w:rPr>
          <w:rStyle w:val="fontstyle01"/>
          <w:rFonts w:ascii="Times New Roman" w:hAnsi="Times New Roman" w:cs="Times New Roman"/>
          <w:sz w:val="28"/>
          <w:szCs w:val="28"/>
        </w:rPr>
        <w:t>Р</w:t>
      </w:r>
      <w:r w:rsidRPr="003565BB">
        <w:rPr>
          <w:rStyle w:val="fontstyle21"/>
          <w:rFonts w:ascii="Times New Roman" w:hAnsi="Times New Roman" w:cs="Times New Roman"/>
          <w:sz w:val="28"/>
          <w:szCs w:val="28"/>
        </w:rPr>
        <w:t xml:space="preserve">., </w:t>
      </w: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мав значно більше артикулів</w:t>
      </w:r>
      <w:r w:rsidRPr="003565BB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що з юридичної точки зору більш розширено врегульовували шлюбні відносини шляхтичів.</w:t>
      </w:r>
    </w:p>
    <w:p w14:paraId="611304B4" w14:textId="77777777" w:rsidR="00787366" w:rsidRDefault="003106BB" w:rsidP="0078736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 останньому статуті міститься значно більше розширених термінів і уточнення текстів</w:t>
      </w:r>
      <w:r w:rsidRPr="003565B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артикулів попередніх статутів</w:t>
      </w:r>
      <w:r w:rsidRPr="003565B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Таким чином, у другій половині</w:t>
      </w:r>
      <w:r w:rsidRPr="003565B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565BB">
        <w:rPr>
          <w:rStyle w:val="fontstyle21"/>
          <w:rFonts w:ascii="Times New Roman" w:hAnsi="Times New Roman" w:cs="Times New Roman"/>
          <w:sz w:val="28"/>
          <w:szCs w:val="28"/>
        </w:rPr>
        <w:t xml:space="preserve">XVI </w:t>
      </w:r>
      <w:proofErr w:type="spellStart"/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3565B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було завершено розроблення правових норм регулювання</w:t>
      </w:r>
      <w:r w:rsidRPr="003565B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шлюбних відносин.</w:t>
      </w:r>
      <w:r w:rsidR="0078736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14:paraId="60319D17" w14:textId="77777777" w:rsidR="00787366" w:rsidRDefault="003106BB" w:rsidP="0078736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565BB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Важливим елементом майнових відносин</w:t>
      </w:r>
      <w:r w:rsidRPr="003565B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був шлюб і посаг через віно</w:t>
      </w:r>
      <w:r w:rsidRPr="003565B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Вони виходили з інтересів патріархального суспільства</w:t>
      </w:r>
      <w:r w:rsidRPr="003565BB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78736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14:paraId="1F715386" w14:textId="77777777" w:rsidR="00787366" w:rsidRDefault="003106BB" w:rsidP="00787366">
      <w:pPr>
        <w:pStyle w:val="a3"/>
        <w:numPr>
          <w:ilvl w:val="0"/>
          <w:numId w:val="2"/>
        </w:numPr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Головною цінністю для шляхти було нерухоме майно</w:t>
      </w:r>
      <w:r w:rsidRPr="003565BB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На основі цього були запроваджені норми,</w:t>
      </w:r>
      <w:r w:rsidRPr="003565BB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5B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які штучно створювали ситуацію гендерної нерівності у шлюбі.</w:t>
      </w:r>
    </w:p>
    <w:p w14:paraId="66365D8B" w14:textId="77777777" w:rsidR="00787366" w:rsidRDefault="00787366" w:rsidP="0078736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6BB" w:rsidRPr="00787366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Законодавство захищало майно від неналежної поведінки нащадків</w:t>
      </w:r>
      <w:r w:rsidR="003106BB" w:rsidRPr="00787366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r w:rsidR="003106BB" w:rsidRPr="00787366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В основному це стосувалося жінок</w:t>
      </w:r>
      <w:r w:rsidR="003106BB" w:rsidRPr="00787366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78736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14:paraId="46811FB7" w14:textId="77777777" w:rsidR="00EA6F83" w:rsidRDefault="00787366" w:rsidP="00EA6F83">
      <w:pPr>
        <w:pStyle w:val="a3"/>
        <w:numPr>
          <w:ilvl w:val="0"/>
          <w:numId w:val="2"/>
        </w:numPr>
        <w:spacing w:after="0" w:line="360" w:lineRule="auto"/>
        <w:rPr>
          <w:rStyle w:val="fontstyle01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</w:t>
      </w:r>
      <w:r w:rsidR="003106BB" w:rsidRPr="00787366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У статуті підкреслюється цінність сім’ї і шлюбу</w:t>
      </w:r>
      <w:r w:rsidR="003106BB" w:rsidRPr="00787366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 w:rsidR="003106BB" w:rsidRPr="00787366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закріплюється поняття законності шлюбу</w:t>
      </w:r>
      <w:r w:rsidR="003106BB" w:rsidRPr="00787366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 w:rsidR="003106BB" w:rsidRPr="00787366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юридично врегульована його тривалість.</w:t>
      </w:r>
    </w:p>
    <w:p w14:paraId="6E8CB969" w14:textId="3F8C65F1" w:rsidR="00EA6F83" w:rsidRPr="00EA6F83" w:rsidRDefault="00EA6F83" w:rsidP="00EA6F83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A6F8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Таким чином, маємо законодавчо прописану досить демократичну модель шлюбу,  але розуміємо, що гендерна нерівність все одно є помітною. І очевидно, що реальне життя мало безліч варіантів відхилень від ідеальної моделі.</w:t>
      </w:r>
    </w:p>
    <w:sectPr w:rsidR="00EA6F83" w:rsidRPr="00EA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Sans-Regular">
    <w:altName w:val="Cambria"/>
    <w:panose1 w:val="00000000000000000000"/>
    <w:charset w:val="00"/>
    <w:family w:val="roman"/>
    <w:notTrueType/>
    <w:pitch w:val="default"/>
  </w:font>
  <w:font w:name="Quattrocen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C1114"/>
    <w:multiLevelType w:val="hybridMultilevel"/>
    <w:tmpl w:val="CE6C9696"/>
    <w:lvl w:ilvl="0" w:tplc="8EA24B5E">
      <w:start w:val="6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F6092"/>
    <w:multiLevelType w:val="hybridMultilevel"/>
    <w:tmpl w:val="BC7C6A34"/>
    <w:lvl w:ilvl="0" w:tplc="33D4B64A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28" w:hanging="360"/>
      </w:pPr>
    </w:lvl>
    <w:lvl w:ilvl="2" w:tplc="2000001B" w:tentative="1">
      <w:start w:val="1"/>
      <w:numFmt w:val="lowerRoman"/>
      <w:lvlText w:val="%3."/>
      <w:lvlJc w:val="right"/>
      <w:pPr>
        <w:ind w:left="2148" w:hanging="180"/>
      </w:pPr>
    </w:lvl>
    <w:lvl w:ilvl="3" w:tplc="2000000F" w:tentative="1">
      <w:start w:val="1"/>
      <w:numFmt w:val="decimal"/>
      <w:lvlText w:val="%4."/>
      <w:lvlJc w:val="left"/>
      <w:pPr>
        <w:ind w:left="2868" w:hanging="360"/>
      </w:pPr>
    </w:lvl>
    <w:lvl w:ilvl="4" w:tplc="20000019" w:tentative="1">
      <w:start w:val="1"/>
      <w:numFmt w:val="lowerLetter"/>
      <w:lvlText w:val="%5."/>
      <w:lvlJc w:val="left"/>
      <w:pPr>
        <w:ind w:left="3588" w:hanging="360"/>
      </w:pPr>
    </w:lvl>
    <w:lvl w:ilvl="5" w:tplc="2000001B" w:tentative="1">
      <w:start w:val="1"/>
      <w:numFmt w:val="lowerRoman"/>
      <w:lvlText w:val="%6."/>
      <w:lvlJc w:val="right"/>
      <w:pPr>
        <w:ind w:left="4308" w:hanging="180"/>
      </w:pPr>
    </w:lvl>
    <w:lvl w:ilvl="6" w:tplc="2000000F" w:tentative="1">
      <w:start w:val="1"/>
      <w:numFmt w:val="decimal"/>
      <w:lvlText w:val="%7."/>
      <w:lvlJc w:val="left"/>
      <w:pPr>
        <w:ind w:left="5028" w:hanging="360"/>
      </w:pPr>
    </w:lvl>
    <w:lvl w:ilvl="7" w:tplc="20000019" w:tentative="1">
      <w:start w:val="1"/>
      <w:numFmt w:val="lowerLetter"/>
      <w:lvlText w:val="%8."/>
      <w:lvlJc w:val="left"/>
      <w:pPr>
        <w:ind w:left="5748" w:hanging="360"/>
      </w:pPr>
    </w:lvl>
    <w:lvl w:ilvl="8" w:tplc="200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414F2841"/>
    <w:multiLevelType w:val="hybridMultilevel"/>
    <w:tmpl w:val="B248E8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4DF6"/>
    <w:multiLevelType w:val="hybridMultilevel"/>
    <w:tmpl w:val="60C86CE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455D0"/>
    <w:multiLevelType w:val="hybridMultilevel"/>
    <w:tmpl w:val="B9544C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F2BB6"/>
    <w:multiLevelType w:val="hybridMultilevel"/>
    <w:tmpl w:val="33E4344C"/>
    <w:lvl w:ilvl="0" w:tplc="20000011">
      <w:start w:val="1"/>
      <w:numFmt w:val="decimal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7F"/>
    <w:rsid w:val="001C2A7F"/>
    <w:rsid w:val="003106BB"/>
    <w:rsid w:val="003565BB"/>
    <w:rsid w:val="00787366"/>
    <w:rsid w:val="00DA4544"/>
    <w:rsid w:val="00EA6F83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112E"/>
  <w15:chartTrackingRefBased/>
  <w15:docId w15:val="{3A3AA554-5EA2-4C2F-8EE5-43698FDD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06BB"/>
    <w:rPr>
      <w:rFonts w:ascii="NotoSans-Regular" w:hAnsi="NotoSans-Regular" w:hint="default"/>
      <w:b w:val="0"/>
      <w:bCs w:val="0"/>
      <w:i w:val="0"/>
      <w:iCs w:val="0"/>
      <w:color w:val="222222"/>
      <w:sz w:val="46"/>
      <w:szCs w:val="46"/>
    </w:rPr>
  </w:style>
  <w:style w:type="character" w:customStyle="1" w:styleId="fontstyle21">
    <w:name w:val="fontstyle21"/>
    <w:basedOn w:val="a0"/>
    <w:rsid w:val="003106BB"/>
    <w:rPr>
      <w:rFonts w:ascii="Quattrocento" w:hAnsi="Quattrocento" w:hint="default"/>
      <w:b w:val="0"/>
      <w:bCs w:val="0"/>
      <w:i w:val="0"/>
      <w:iCs w:val="0"/>
      <w:color w:val="222222"/>
      <w:sz w:val="46"/>
      <w:szCs w:val="46"/>
    </w:rPr>
  </w:style>
  <w:style w:type="paragraph" w:styleId="a3">
    <w:name w:val="List Paragraph"/>
    <w:basedOn w:val="a"/>
    <w:uiPriority w:val="34"/>
    <w:qFormat/>
    <w:rsid w:val="0035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D73880D48DE04CA8DDA74F1AC6E831" ma:contentTypeVersion="14" ma:contentTypeDescription="Створення нового документа." ma:contentTypeScope="" ma:versionID="564e627287949b0303c404a87a55f51b">
  <xsd:schema xmlns:xsd="http://www.w3.org/2001/XMLSchema" xmlns:xs="http://www.w3.org/2001/XMLSchema" xmlns:p="http://schemas.microsoft.com/office/2006/metadata/properties" xmlns:ns3="2127c19c-41b9-440b-9b3e-fbdac96c62eb" xmlns:ns4="f7e29d8f-7bcf-4e36-82b8-db94d74de978" targetNamespace="http://schemas.microsoft.com/office/2006/metadata/properties" ma:root="true" ma:fieldsID="90132df5b8ebe3a4ffcaeaef38f96412" ns3:_="" ns4:_="">
    <xsd:import namespace="2127c19c-41b9-440b-9b3e-fbdac96c62eb"/>
    <xsd:import namespace="f7e29d8f-7bcf-4e36-82b8-db94d74de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c19c-41b9-440b-9b3e-fbdac96c6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9d8f-7bcf-4e36-82b8-db94d74de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27c19c-41b9-440b-9b3e-fbdac96c62eb" xsi:nil="true"/>
  </documentManagement>
</p:properties>
</file>

<file path=customXml/itemProps1.xml><?xml version="1.0" encoding="utf-8"?>
<ds:datastoreItem xmlns:ds="http://schemas.openxmlformats.org/officeDocument/2006/customXml" ds:itemID="{A74B6650-2B6D-4F91-933E-13E2E4706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B09A7-304B-483C-AB42-FD1949EB9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7c19c-41b9-440b-9b3e-fbdac96c62eb"/>
    <ds:schemaRef ds:uri="f7e29d8f-7bcf-4e36-82b8-db94d74de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0C983-DA25-489D-8F42-C8277D080B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09E283-BCE4-475A-967C-D686FE8B14C1}">
  <ds:schemaRefs>
    <ds:schemaRef ds:uri="http://schemas.microsoft.com/office/2006/metadata/properties"/>
    <ds:schemaRef ds:uri="http://schemas.microsoft.com/office/infopath/2007/PartnerControls"/>
    <ds:schemaRef ds:uri="2127c19c-41b9-440b-9b3e-fbdac96c62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 Катерина</dc:creator>
  <cp:keywords/>
  <dc:description/>
  <cp:lastModifiedBy>Симон Катерина</cp:lastModifiedBy>
  <cp:revision>2</cp:revision>
  <dcterms:created xsi:type="dcterms:W3CDTF">2023-04-24T18:13:00Z</dcterms:created>
  <dcterms:modified xsi:type="dcterms:W3CDTF">2023-04-24T18:13:00Z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0x0101009FD73880D48DE04CA8DDA74F1AC6E831</vt:lpwstr>
  </property>
</Properties>
</file>