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D0" w:rsidRPr="006010D0" w:rsidRDefault="006010D0" w:rsidP="006010D0">
      <w:pPr>
        <w:pStyle w:val="a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«</w:t>
      </w:r>
      <w:r w:rsidRPr="006010D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Яків Васильович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6010D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Орел-Гальчевський</w:t>
      </w:r>
      <w:proofErr w:type="spellEnd"/>
      <w:r w:rsidRPr="006010D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(Войнаровський)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»</w:t>
      </w:r>
    </w:p>
    <w:p w:rsidR="006010D0" w:rsidRPr="006010D0" w:rsidRDefault="006010D0" w:rsidP="006010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10D0">
        <w:rPr>
          <w:rFonts w:ascii="Times New Roman" w:hAnsi="Times New Roman"/>
          <w:b/>
          <w:sz w:val="28"/>
          <w:szCs w:val="28"/>
        </w:rPr>
        <w:t>Баблонюк</w:t>
      </w:r>
      <w:proofErr w:type="spellEnd"/>
      <w:r w:rsidRPr="006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0D0">
        <w:rPr>
          <w:rFonts w:ascii="Times New Roman" w:hAnsi="Times New Roman"/>
          <w:b/>
          <w:sz w:val="28"/>
          <w:szCs w:val="28"/>
        </w:rPr>
        <w:t>Андр</w:t>
      </w:r>
      <w:proofErr w:type="spellEnd"/>
      <w:r w:rsidRPr="006010D0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6010D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0D0">
        <w:rPr>
          <w:rFonts w:ascii="Times New Roman" w:hAnsi="Times New Roman"/>
          <w:b/>
          <w:sz w:val="28"/>
          <w:szCs w:val="28"/>
        </w:rPr>
        <w:t>Васильович</w:t>
      </w:r>
      <w:proofErr w:type="spellEnd"/>
    </w:p>
    <w:p w:rsidR="006010D0" w:rsidRPr="006010D0" w:rsidRDefault="006010D0" w:rsidP="006010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10D0">
        <w:rPr>
          <w:rFonts w:ascii="Times New Roman" w:hAnsi="Times New Roman"/>
          <w:b/>
          <w:sz w:val="28"/>
          <w:szCs w:val="28"/>
        </w:rPr>
        <w:t>Хмельницьке</w:t>
      </w:r>
      <w:proofErr w:type="spellEnd"/>
      <w:r w:rsidRPr="006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0D0">
        <w:rPr>
          <w:rFonts w:ascii="Times New Roman" w:hAnsi="Times New Roman"/>
          <w:b/>
          <w:sz w:val="28"/>
          <w:szCs w:val="28"/>
        </w:rPr>
        <w:t>територіальне</w:t>
      </w:r>
      <w:proofErr w:type="spellEnd"/>
      <w:r w:rsidRPr="006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0D0">
        <w:rPr>
          <w:rFonts w:ascii="Times New Roman" w:hAnsi="Times New Roman"/>
          <w:b/>
          <w:sz w:val="28"/>
          <w:szCs w:val="28"/>
        </w:rPr>
        <w:t>відділення</w:t>
      </w:r>
      <w:proofErr w:type="spellEnd"/>
      <w:r w:rsidRPr="006010D0">
        <w:rPr>
          <w:rFonts w:ascii="Times New Roman" w:hAnsi="Times New Roman"/>
          <w:b/>
          <w:sz w:val="28"/>
          <w:szCs w:val="28"/>
        </w:rPr>
        <w:t xml:space="preserve"> МАН </w:t>
      </w:r>
      <w:proofErr w:type="spellStart"/>
      <w:r w:rsidRPr="006010D0">
        <w:rPr>
          <w:rFonts w:ascii="Times New Roman" w:hAnsi="Times New Roman"/>
          <w:b/>
          <w:sz w:val="28"/>
          <w:szCs w:val="28"/>
        </w:rPr>
        <w:t>України</w:t>
      </w:r>
      <w:proofErr w:type="spellEnd"/>
    </w:p>
    <w:p w:rsidR="006010D0" w:rsidRPr="006010D0" w:rsidRDefault="006010D0" w:rsidP="006010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10D0">
        <w:rPr>
          <w:rFonts w:ascii="Times New Roman" w:hAnsi="Times New Roman"/>
          <w:b/>
          <w:sz w:val="28"/>
          <w:szCs w:val="28"/>
        </w:rPr>
        <w:t>Ярмолинецьке</w:t>
      </w:r>
      <w:proofErr w:type="spellEnd"/>
      <w:r w:rsidRPr="006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0D0">
        <w:rPr>
          <w:rFonts w:ascii="Times New Roman" w:hAnsi="Times New Roman"/>
          <w:b/>
          <w:sz w:val="28"/>
          <w:szCs w:val="28"/>
        </w:rPr>
        <w:t>наукове</w:t>
      </w:r>
      <w:proofErr w:type="spellEnd"/>
      <w:r w:rsidRPr="006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0D0">
        <w:rPr>
          <w:rFonts w:ascii="Times New Roman" w:hAnsi="Times New Roman"/>
          <w:b/>
          <w:sz w:val="28"/>
          <w:szCs w:val="28"/>
        </w:rPr>
        <w:t>товариство</w:t>
      </w:r>
      <w:proofErr w:type="spellEnd"/>
      <w:r w:rsidRPr="006010D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010D0">
        <w:rPr>
          <w:rFonts w:ascii="Times New Roman" w:hAnsi="Times New Roman"/>
          <w:b/>
          <w:sz w:val="28"/>
          <w:szCs w:val="28"/>
        </w:rPr>
        <w:t>Паросток</w:t>
      </w:r>
      <w:proofErr w:type="spellEnd"/>
      <w:r w:rsidRPr="006010D0">
        <w:rPr>
          <w:rFonts w:ascii="Times New Roman" w:hAnsi="Times New Roman"/>
          <w:b/>
          <w:sz w:val="28"/>
          <w:szCs w:val="28"/>
        </w:rPr>
        <w:t>»</w:t>
      </w:r>
    </w:p>
    <w:p w:rsidR="006010D0" w:rsidRDefault="006010D0" w:rsidP="006010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010D0">
        <w:rPr>
          <w:rFonts w:ascii="Times New Roman" w:hAnsi="Times New Roman"/>
          <w:b/>
          <w:sz w:val="28"/>
          <w:szCs w:val="28"/>
          <w:lang w:val="uk-UA"/>
        </w:rPr>
        <w:t>Ярмолинецький</w:t>
      </w:r>
      <w:proofErr w:type="spellEnd"/>
      <w:r w:rsidRPr="006010D0">
        <w:rPr>
          <w:rFonts w:ascii="Times New Roman" w:hAnsi="Times New Roman"/>
          <w:b/>
          <w:sz w:val="28"/>
          <w:szCs w:val="28"/>
          <w:lang w:val="uk-UA"/>
        </w:rPr>
        <w:t xml:space="preserve"> навчально-виховний комплекс «Загальноосвітня </w:t>
      </w:r>
    </w:p>
    <w:p w:rsidR="006010D0" w:rsidRPr="006010D0" w:rsidRDefault="006010D0" w:rsidP="006010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0D0">
        <w:rPr>
          <w:rFonts w:ascii="Times New Roman" w:hAnsi="Times New Roman"/>
          <w:b/>
          <w:sz w:val="28"/>
          <w:szCs w:val="28"/>
          <w:lang w:val="uk-UA"/>
        </w:rPr>
        <w:t>школа І-ІІІ ступенів» і гімназія, 10 клас</w:t>
      </w:r>
    </w:p>
    <w:p w:rsidR="006010D0" w:rsidRPr="006010D0" w:rsidRDefault="006010D0" w:rsidP="006010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0D0">
        <w:rPr>
          <w:rFonts w:ascii="Times New Roman" w:hAnsi="Times New Roman"/>
          <w:b/>
          <w:sz w:val="28"/>
          <w:szCs w:val="28"/>
          <w:lang w:val="uk-UA"/>
        </w:rPr>
        <w:t>Герасимчук Інга Вадимівна</w:t>
      </w:r>
      <w:r w:rsidRPr="00F2088F">
        <w:rPr>
          <w:rFonts w:ascii="Times New Roman" w:hAnsi="Times New Roman"/>
          <w:b/>
          <w:sz w:val="28"/>
          <w:szCs w:val="28"/>
          <w:lang w:val="uk-UA"/>
        </w:rPr>
        <w:t xml:space="preserve">, вчитель </w:t>
      </w:r>
      <w:r w:rsidRPr="006010D0">
        <w:rPr>
          <w:rFonts w:ascii="Times New Roman" w:hAnsi="Times New Roman"/>
          <w:b/>
          <w:sz w:val="28"/>
          <w:szCs w:val="28"/>
          <w:lang w:val="uk-UA"/>
        </w:rPr>
        <w:t>історії</w:t>
      </w:r>
      <w:r w:rsidRPr="00F208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010D0">
        <w:rPr>
          <w:rFonts w:ascii="Times New Roman" w:hAnsi="Times New Roman"/>
          <w:b/>
          <w:sz w:val="28"/>
          <w:szCs w:val="28"/>
          <w:lang w:val="uk-UA"/>
        </w:rPr>
        <w:t>Ярмолинецького</w:t>
      </w:r>
      <w:proofErr w:type="spellEnd"/>
      <w:r w:rsidRPr="006010D0">
        <w:rPr>
          <w:rFonts w:ascii="Times New Roman" w:hAnsi="Times New Roman"/>
          <w:b/>
          <w:sz w:val="28"/>
          <w:szCs w:val="28"/>
          <w:lang w:val="uk-UA"/>
        </w:rPr>
        <w:t xml:space="preserve"> навчально-виховного комплексу «Загальноосвітня школа І-ІІІ ступенів» і гімназія</w:t>
      </w:r>
    </w:p>
    <w:p w:rsidR="00B63CBC" w:rsidRPr="006010D0" w:rsidRDefault="006010D0" w:rsidP="006010D0">
      <w:pPr>
        <w:pStyle w:val="a3"/>
        <w:spacing w:before="96" w:beforeAutospacing="0" w:after="12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  <w:lang w:val="uk-UA"/>
        </w:rPr>
      </w:pPr>
      <w:r w:rsidRPr="006010D0">
        <w:rPr>
          <w:rFonts w:eastAsiaTheme="minorEastAsia"/>
          <w:b/>
          <w:color w:val="000000" w:themeColor="text1"/>
          <w:kern w:val="24"/>
          <w:sz w:val="28"/>
          <w:szCs w:val="28"/>
          <w:lang w:val="uk-UA"/>
        </w:rPr>
        <w:t>ТЕЗИ</w:t>
      </w:r>
    </w:p>
    <w:p w:rsidR="00B63CBC" w:rsidRPr="009D1238" w:rsidRDefault="009D7419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8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553E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історію диктують і пишуть переможці.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Ця фраза особливо болісна для нашого народу і всієї України загалом, тому що впродовж століть наш народ перебував у складі та під віковим гнітом багатьох держав, кожна з яких на свій розсуд тлумачила нашу іст</w:t>
      </w:r>
      <w:r w:rsidR="00C8553E" w:rsidRPr="009D1238">
        <w:rPr>
          <w:rFonts w:ascii="Times New Roman" w:hAnsi="Times New Roman" w:cs="Times New Roman"/>
          <w:sz w:val="28"/>
          <w:szCs w:val="28"/>
          <w:lang w:val="uk-UA"/>
        </w:rPr>
        <w:t>орію, перекручуючи факти та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спотворюючи нашу </w:t>
      </w:r>
      <w:proofErr w:type="spellStart"/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минувщину</w:t>
      </w:r>
      <w:proofErr w:type="spellEnd"/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CBC" w:rsidRPr="009D1238" w:rsidRDefault="00C8553E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Сьогодні 21 листопада ми відзначаємо «День Гідності та Свободи». День пам</w:t>
      </w:r>
      <w:r w:rsidR="00DB7092" w:rsidRPr="009D12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яті створено з метою утвердження в Україні ідеалів свободи і демократії, збереження та донесення до сучасного і майбутніх поколінь об’єктивної інформації про доленосні події в Україні початку </w:t>
      </w:r>
      <w:r w:rsidR="00B63CBC" w:rsidRPr="009D12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12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3CBC" w:rsidRPr="009D12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C8553E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     Правда про селянський повстанський рух на Поділлі у 1919-1926р.р., про національно-визвольну боротьбу отамана Гайдамацького краю, полковника армії УНР </w:t>
      </w:r>
      <w:r w:rsidR="00C8553E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Якова </w:t>
      </w:r>
      <w:proofErr w:type="spellStart"/>
      <w:r w:rsidR="00C8553E" w:rsidRPr="009D1238">
        <w:rPr>
          <w:rFonts w:ascii="Times New Roman" w:hAnsi="Times New Roman" w:cs="Times New Roman"/>
          <w:sz w:val="28"/>
          <w:szCs w:val="28"/>
          <w:lang w:val="uk-UA"/>
        </w:rPr>
        <w:t>Орла-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який організував та очолив повстання на Поділлі має бути відома свідомим українцям, які шанують демократичні цінності, національні інтереси нашої держави.     </w:t>
      </w:r>
    </w:p>
    <w:p w:rsidR="00B63CBC" w:rsidRPr="009D1238" w:rsidRDefault="00C8553E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Видатний борець за українську державність, герой національно-визвольних змагань, військовий діяч, повстанський  отаман на Поділлі, організатор загонів народної самооборони, полковник армії УНР, вчитель, історіогр</w:t>
      </w:r>
      <w:r w:rsidR="00DB709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аф, письменник Яків Васильович </w:t>
      </w:r>
      <w:proofErr w:type="spellStart"/>
      <w:r w:rsidR="00DB7092" w:rsidRPr="009D123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альчевський</w:t>
      </w:r>
      <w:proofErr w:type="spellEnd"/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у селянській родині в селі </w:t>
      </w:r>
      <w:proofErr w:type="spellStart"/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Гута-Літинська</w:t>
      </w:r>
      <w:proofErr w:type="spellEnd"/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губернії 3 листопада 1894р. 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  Закінчив двокласну</w:t>
      </w:r>
      <w:r w:rsidR="00566557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вчительську школу у </w:t>
      </w:r>
      <w:proofErr w:type="spellStart"/>
      <w:r w:rsidR="00566557" w:rsidRPr="009D1238">
        <w:rPr>
          <w:rFonts w:ascii="Times New Roman" w:hAnsi="Times New Roman" w:cs="Times New Roman"/>
          <w:sz w:val="28"/>
          <w:szCs w:val="28"/>
          <w:lang w:val="uk-UA"/>
        </w:rPr>
        <w:t>с.Майдан-Трепо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вецький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та в червні 1915р.</w:t>
      </w:r>
      <w:r w:rsidR="00C8553E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2-гу</w:t>
      </w:r>
      <w:r w:rsidRPr="009D1238">
        <w:rPr>
          <w:rFonts w:ascii="Times New Roman" w:hAnsi="Times New Roman" w:cs="Times New Roman"/>
          <w:sz w:val="28"/>
          <w:szCs w:val="28"/>
        </w:rPr>
        <w:t xml:space="preserve"> Ж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итомирську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школу прапорщиків.</w:t>
      </w:r>
    </w:p>
    <w:p w:rsidR="00B63CBC" w:rsidRPr="009D1238" w:rsidRDefault="00566557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Людина 1894 р. була просто приречена потрапити під прес Першої світової війни. Сильна особистість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яскраво заявила про себе в екстремальних умовах. 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     Поранення у бік, контузія, отруєння газами-ніщо не могло вивести з ладу молодого українця: одужавши, він неодмінно повертався на фронт.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Військове керівництво цінувало відвагу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>: кожні кілька місяців його підвищували у званні й щороку давали орден.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    У царській армії молодий офіцер відчував себе насамперед сином України.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Він активно українізував солдат, а коли зіткнувся із закономірним опором начальства, усе одно знайшов вихід: « всіма  правдами і не</w:t>
      </w:r>
      <w:r w:rsidR="00DB7092" w:rsidRPr="009D1238">
        <w:rPr>
          <w:rFonts w:ascii="Times New Roman" w:hAnsi="Times New Roman" w:cs="Times New Roman"/>
          <w:sz w:val="28"/>
          <w:szCs w:val="28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правдами відправляв козаків до Києва в українські частини.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   Проте сам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Гальчевський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зміг повернутися на Батьківщину лише після Жовтневого перевороту, коли російська армія  остаточно розвалилася.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Деякий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час він завідував школою в с. </w:t>
      </w:r>
      <w:proofErr w:type="spellStart"/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русленів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а коли у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Pr="009D1238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янці-Подільському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було засновано Держав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ний український університет, 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Гальчевський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став його вільним слухачем( 1918р.)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>У цей час Яків Васильович яскраво проявив себе як суспільно-політичний діяч. Відвідуючи лекції, він одночасно створив таємну організацію з метою повалення режиму Скоропадського, став членом Українського національного союзу.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За дорученням керівництва УНС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Гальчевський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відповідав за підготовку повстання у чотирьох повітах Подільської губернії: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Літинському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Летичівському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Вінницькому,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Кам’янець-Подільському.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Кілька тижнів він обходив повіти, знаходив товаришів по зброї, які переховувалися від більшовиків , переконував їх продовжувати збройну боротьбу.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   Червона армія грабіжницькою політикою і примусовою мобілізацією сприяла діям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бо незадоволених більшовицькою владою було дуже багато, особливо серед селянства.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Окупанти поводилися зухвало : примусово вилучали продовольство, грабували церкви, нищили «Просвіти» й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</w:rPr>
        <w:t>‘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ятки архітектури.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Гальчевський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згадував у мемуарах : « Під час повернення більшовиків з-під Варшави знищено дотла мою оселю; брата Федора, який ні до чого не втручався, розстріляно після знущань; навіть робітників-селян повбивали. Після братової мученицької смерті (він був винен лише в тому, що доводився мені братом), -- продовжував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Гальчевський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-- я оскаженів».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Але помститися він присягнув не особисто убивцям брата, а всім комуністам. 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</w:rPr>
        <w:t xml:space="preserve">    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Кожен тоді прагнув взяти до рук зброю і розпочати нещадну боротьбу проти червоних за визволення українських земель.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У січні-лютому 1921 р. загальна чисельність повстанців у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Подністров</w:t>
      </w:r>
      <w:proofErr w:type="spellEnd"/>
      <w:r w:rsidR="00DB7092" w:rsidRPr="009D1238">
        <w:rPr>
          <w:rFonts w:ascii="Times New Roman" w:hAnsi="Times New Roman" w:cs="Times New Roman"/>
          <w:sz w:val="28"/>
          <w:szCs w:val="28"/>
        </w:rPr>
        <w:t>’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ї нараховувала близько двадцяти тисяч багнетів. 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Як військовий фахівець повстанський отаман спочатку проводив розвідувальну роботу: він мав своїх сексотів та інформаторів всюди, навіть в органах Надзвичайного комітету. Осередком штабу повстанці обрали село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Брусленів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>, навколо якого росли густі ліси, що унеможливлювало несподіваний напад з боку червоних 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Гальчевський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казав: «До зрадників –хохлів, які служать більшовикам, мусимо бути нещ</w:t>
      </w:r>
      <w:r w:rsidR="00DB7092" w:rsidRPr="009D1238">
        <w:rPr>
          <w:rFonts w:ascii="Times New Roman" w:hAnsi="Times New Roman" w:cs="Times New Roman"/>
          <w:sz w:val="28"/>
          <w:szCs w:val="28"/>
          <w:lang w:val="uk-UA"/>
        </w:rPr>
        <w:t>адними.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09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Ми сильні своєю таємнич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істю, підібраними елементами, несподіваним нападом, використанням ночі, поганої погоди і можливістю швидко зникати.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1921рік був сприятливим до повстанців. Втрати у них були незначні, а у червоних-десятки тисяч.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Такого результату було досягнуто завдяки постійним рейдам повстанців  територією Поділля.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Багатьох більшовиків старшина УНР знищив власноруч, стріляючи в точку, де сходяться брови -- те місце, в яке було застрілено його брата.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Ось тоді й дістав отаман прізвисько </w:t>
      </w:r>
      <w:r w:rsidRPr="009D12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«Орел». </w:t>
      </w:r>
      <w:r w:rsidR="009950A2" w:rsidRPr="009D12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Успіхам рейдів Якова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Орла-Гальчевського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сприяв тісний зв’язок та підтримка зброєю, особовим складом, керівниками, узгодженістю дій між окремими повстанськими групами.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Це давало надію селянам на перемогу над більшовиками.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  Наказом Головного отамана Директорії УНР Симона Петлюри Яків Васильович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Орел-Гальчевський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у 1922р.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F96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ув призначений останнім командувачем повстанських сил Правобережної України.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Командувач воював проти частин Котовського та Осадчого, проти дивізій Червоного козацтва, Самарської дивізії, Восьмої кінної дивізії, проти ескадронів Брацлавського п</w:t>
      </w:r>
      <w:r w:rsidR="00250F96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олку, проти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Вінницької школи червоних командирів.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F96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Оперував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Літинщині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Летичівщині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Брацлавщині,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Гайсинщині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>, Уманщині, рейдував у Вінницькому, Проскурівському, Кам</w:t>
      </w:r>
      <w:r w:rsidR="00250F96" w:rsidRPr="009D1238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янець-Подільському,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Ново-Ушицькому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Могилівському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Ольгопільському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повітах.</w:t>
      </w:r>
    </w:p>
    <w:p w:rsidR="00250F96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 Життя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Орла-</w:t>
      </w:r>
      <w:proofErr w:type="spellEnd"/>
      <w:r w:rsidRPr="009D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впродовж 1921-1925</w:t>
      </w:r>
      <w:r w:rsidR="00250F96" w:rsidRPr="009D1238">
        <w:rPr>
          <w:rFonts w:ascii="Times New Roman" w:hAnsi="Times New Roman" w:cs="Times New Roman"/>
          <w:sz w:val="28"/>
          <w:szCs w:val="28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років настільки насичене, що можна знімати бойовик.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Збройну боротьбу він продовжував до літа 1925 року.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CBC" w:rsidRPr="009D1238" w:rsidRDefault="00250F96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Залишки загону Орла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близько 60 козаків та старшин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--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з боями прорвалися до Збруча, пер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ейшли річку, залишивши позаду У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D12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Р, щоб змінити методи боротьби з більшовицькою Росією. </w:t>
      </w:r>
    </w:p>
    <w:p w:rsidR="00B63CBC" w:rsidRPr="009D1238" w:rsidRDefault="00A02D0F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Опинившись в еміграції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Гальчевський</w:t>
      </w:r>
      <w:proofErr w:type="spellEnd"/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продовжив військову кар</w:t>
      </w:r>
      <w:r w:rsidR="00B63CBC" w:rsidRPr="009D123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єру</w:t>
      </w:r>
      <w:proofErr w:type="spellEnd"/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за сприянням Симона Петлюри, який прагнув практикувати старшину УНР</w:t>
      </w:r>
      <w:r w:rsidR="00B63CBC" w:rsidRPr="009D1238">
        <w:rPr>
          <w:rFonts w:ascii="Times New Roman" w:hAnsi="Times New Roman" w:cs="Times New Roman"/>
          <w:sz w:val="28"/>
          <w:szCs w:val="28"/>
        </w:rPr>
        <w:t xml:space="preserve">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>бодай у чужих арміях.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CBC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Під прізвищем Войнаровський Орел командував сотнею у Війську Польському , таємно направляв агентів до радянської України. 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Коли фашисти захопили Польщу, потрапив у полон разом з армією, що здалася.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Загинув у 1944 році від рук польських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боївкарів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армії Крайової. На чужині могилу легендарного борця не збережено. 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9D1238">
        <w:rPr>
          <w:rFonts w:ascii="Times New Roman" w:hAnsi="Times New Roman" w:cs="Times New Roman"/>
          <w:sz w:val="28"/>
          <w:szCs w:val="28"/>
        </w:rPr>
        <w:t>’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>я безмежно відважного сина України, легендарного отамана, безкомпромісного</w:t>
      </w:r>
      <w:r w:rsidR="00250F96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борця зі </w:t>
      </w:r>
      <w:r w:rsidR="009950A2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зрадниками і ворогами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Батьківщини, нашого земляка Якова Васильовича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Орла-Гальчевського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–Войнаровського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не забуте. 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У 1995 році Товариством імені Якова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було засновано премію</w:t>
      </w:r>
      <w:r w:rsidR="007F7C03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його імені  «За подвижництво у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державотворенні».  У 2000 р. у с.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Сахни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>, де вчителював легендарний отаман</w:t>
      </w:r>
      <w:r w:rsidR="007F7C03" w:rsidRPr="009D12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9D123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ятний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хрест на його честь.</w:t>
      </w:r>
    </w:p>
    <w:p w:rsidR="00B63CBC" w:rsidRPr="009D1238" w:rsidRDefault="00B63CBC" w:rsidP="00E9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8">
        <w:rPr>
          <w:rFonts w:ascii="Times New Roman" w:hAnsi="Times New Roman" w:cs="Times New Roman"/>
          <w:sz w:val="28"/>
          <w:szCs w:val="28"/>
        </w:rPr>
        <w:t xml:space="preserve">      </w:t>
      </w:r>
      <w:r w:rsidR="007F7C03"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2015р. У Вінниці, у 2016р.  у місті </w:t>
      </w:r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Хмельницькому іменем Якова </w:t>
      </w:r>
      <w:proofErr w:type="spellStart"/>
      <w:r w:rsidRPr="009D1238">
        <w:rPr>
          <w:rFonts w:ascii="Times New Roman" w:hAnsi="Times New Roman" w:cs="Times New Roman"/>
          <w:sz w:val="28"/>
          <w:szCs w:val="28"/>
          <w:lang w:val="uk-UA"/>
        </w:rPr>
        <w:t>Гальчевського</w:t>
      </w:r>
      <w:proofErr w:type="spellEnd"/>
      <w:r w:rsidRPr="009D1238">
        <w:rPr>
          <w:rFonts w:ascii="Times New Roman" w:hAnsi="Times New Roman" w:cs="Times New Roman"/>
          <w:sz w:val="28"/>
          <w:szCs w:val="28"/>
          <w:lang w:val="uk-UA"/>
        </w:rPr>
        <w:t xml:space="preserve"> названо вулиці.</w:t>
      </w:r>
      <w:r w:rsidRPr="009D1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03" w:rsidRPr="009D1238" w:rsidRDefault="007F7C03" w:rsidP="009D1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C03" w:rsidRPr="009D1238" w:rsidRDefault="007F7C03" w:rsidP="00DB70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Слава Україні!!!</w:t>
      </w:r>
      <w:r w:rsidR="00E919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1238">
        <w:rPr>
          <w:rFonts w:ascii="Times New Roman" w:hAnsi="Times New Roman" w:cs="Times New Roman"/>
          <w:b/>
          <w:sz w:val="28"/>
          <w:szCs w:val="28"/>
          <w:lang w:val="uk-UA"/>
        </w:rPr>
        <w:t>Героям Слава!!!</w:t>
      </w:r>
    </w:p>
    <w:p w:rsidR="00DB7092" w:rsidRDefault="00DB7092" w:rsidP="00DB7092">
      <w:pPr>
        <w:pStyle w:val="a3"/>
        <w:spacing w:before="115"/>
        <w:ind w:left="720"/>
        <w:rPr>
          <w:rFonts w:asciiTheme="minorHAnsi" w:eastAsiaTheme="minorEastAsia" w:hAnsi="Century Gothic" w:cstheme="minorBidi"/>
          <w:color w:val="AEAAAA" w:themeColor="background2" w:themeShade="BF"/>
          <w:kern w:val="24"/>
          <w:sz w:val="28"/>
          <w:szCs w:val="28"/>
          <w:lang w:val="uk-UA"/>
        </w:rPr>
      </w:pPr>
    </w:p>
    <w:p w:rsidR="00DB7092" w:rsidRDefault="00DB7092" w:rsidP="00DB7092">
      <w:pPr>
        <w:pStyle w:val="a3"/>
        <w:spacing w:before="115"/>
        <w:ind w:left="720"/>
        <w:rPr>
          <w:rFonts w:asciiTheme="minorHAnsi" w:eastAsiaTheme="minorEastAsia" w:hAnsi="Century Gothic" w:cstheme="minorBidi"/>
          <w:color w:val="AEAAAA" w:themeColor="background2" w:themeShade="BF"/>
          <w:kern w:val="24"/>
          <w:sz w:val="28"/>
          <w:szCs w:val="28"/>
          <w:lang w:val="uk-UA"/>
        </w:rPr>
      </w:pPr>
    </w:p>
    <w:p w:rsidR="00DB7092" w:rsidRDefault="00DB7092" w:rsidP="00DB7092">
      <w:pPr>
        <w:pStyle w:val="a3"/>
        <w:spacing w:before="115"/>
        <w:ind w:left="720"/>
        <w:rPr>
          <w:rFonts w:asciiTheme="minorHAnsi" w:eastAsiaTheme="minorEastAsia" w:hAnsi="Century Gothic" w:cstheme="minorBidi"/>
          <w:color w:val="AEAAAA" w:themeColor="background2" w:themeShade="BF"/>
          <w:kern w:val="24"/>
          <w:sz w:val="28"/>
          <w:szCs w:val="28"/>
          <w:lang w:val="uk-UA"/>
        </w:rPr>
      </w:pPr>
    </w:p>
    <w:p w:rsidR="00B63CBC" w:rsidRPr="00DB7092" w:rsidRDefault="00DB7092" w:rsidP="00DB7092">
      <w:pPr>
        <w:pStyle w:val="a3"/>
        <w:spacing w:before="115"/>
        <w:ind w:left="720"/>
        <w:rPr>
          <w:rFonts w:asciiTheme="minorHAnsi" w:eastAsiaTheme="minorEastAsia" w:hAnsi="Century Gothic" w:cstheme="minorBidi"/>
          <w:color w:val="AEAAAA" w:themeColor="background2" w:themeShade="BF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AEAAAA" w:themeColor="background2" w:themeShade="BF"/>
          <w:kern w:val="24"/>
          <w:sz w:val="28"/>
          <w:szCs w:val="28"/>
          <w:lang w:val="uk-UA"/>
        </w:rPr>
        <w:t>+</w:t>
      </w:r>
      <w:r w:rsidR="00B63CBC" w:rsidRPr="00DB7092">
        <w:rPr>
          <w:rFonts w:asciiTheme="minorHAnsi" w:eastAsiaTheme="minorEastAsia" w:hAnsi="Century Gothic" w:cstheme="minorBidi"/>
          <w:color w:val="AEAAAA" w:themeColor="background2" w:themeShade="BF"/>
          <w:kern w:val="24"/>
          <w:sz w:val="28"/>
          <w:szCs w:val="28"/>
          <w:lang w:val="uk-UA"/>
        </w:rPr>
        <w:t xml:space="preserve"> </w:t>
      </w:r>
    </w:p>
    <w:p w:rsidR="00B63CBC" w:rsidRPr="00DB7092" w:rsidRDefault="00B63CBC" w:rsidP="00B63CBC">
      <w:pPr>
        <w:pStyle w:val="a3"/>
        <w:spacing w:before="115" w:beforeAutospacing="0" w:after="120" w:afterAutospacing="0"/>
        <w:rPr>
          <w:rFonts w:asciiTheme="minorHAnsi" w:eastAsiaTheme="minorEastAsia" w:hAnsi="Century Gothic" w:cstheme="minorBidi"/>
          <w:color w:val="AEAAAA" w:themeColor="background2" w:themeShade="BF"/>
          <w:kern w:val="24"/>
          <w:sz w:val="28"/>
          <w:szCs w:val="28"/>
        </w:rPr>
      </w:pPr>
    </w:p>
    <w:p w:rsidR="00B63CBC" w:rsidRDefault="00B63CBC" w:rsidP="00B63CBC">
      <w:pPr>
        <w:pStyle w:val="a3"/>
        <w:spacing w:before="115" w:beforeAutospacing="0" w:after="120" w:afterAutospacing="0"/>
      </w:pPr>
    </w:p>
    <w:p w:rsidR="00B63CBC" w:rsidRPr="00B63CBC" w:rsidRDefault="00B63CBC" w:rsidP="00B71796">
      <w:pPr>
        <w:pStyle w:val="a3"/>
        <w:spacing w:before="96" w:beforeAutospacing="0" w:after="120" w:afterAutospacing="0"/>
        <w:rPr>
          <w:rFonts w:asciiTheme="minorHAnsi" w:eastAsiaTheme="minorEastAsia" w:hAnsi="Century Gothic" w:cstheme="minorBidi"/>
          <w:color w:val="AEAAAA" w:themeColor="background2" w:themeShade="BF"/>
          <w:kern w:val="24"/>
          <w:sz w:val="44"/>
          <w:szCs w:val="44"/>
        </w:rPr>
      </w:pPr>
    </w:p>
    <w:p w:rsidR="00B71796" w:rsidRPr="00B71796" w:rsidRDefault="00B71796" w:rsidP="00B71796">
      <w:pPr>
        <w:pStyle w:val="a3"/>
        <w:spacing w:before="96" w:beforeAutospacing="0" w:after="120" w:afterAutospacing="0"/>
        <w:rPr>
          <w:sz w:val="44"/>
          <w:szCs w:val="44"/>
        </w:rPr>
      </w:pPr>
    </w:p>
    <w:p w:rsidR="00B71796" w:rsidRPr="00B71796" w:rsidRDefault="00B71796" w:rsidP="00B71796">
      <w:pPr>
        <w:pStyle w:val="a3"/>
        <w:spacing w:before="96" w:beforeAutospacing="0" w:after="120" w:afterAutospacing="0"/>
        <w:rPr>
          <w:sz w:val="44"/>
          <w:szCs w:val="44"/>
        </w:rPr>
      </w:pPr>
    </w:p>
    <w:p w:rsidR="00B71796" w:rsidRPr="00B71796" w:rsidRDefault="00B71796">
      <w:pPr>
        <w:rPr>
          <w:sz w:val="36"/>
          <w:szCs w:val="36"/>
        </w:rPr>
      </w:pPr>
    </w:p>
    <w:sectPr w:rsidR="00B71796" w:rsidRPr="00B71796" w:rsidSect="00F2088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109A"/>
    <w:multiLevelType w:val="hybridMultilevel"/>
    <w:tmpl w:val="297256DA"/>
    <w:lvl w:ilvl="0" w:tplc="804C6DD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3C090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7A5D4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B4BA8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DA6D7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E1B7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C2BF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5C83B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FA80A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16E8"/>
    <w:rsid w:val="00016B7E"/>
    <w:rsid w:val="001A047D"/>
    <w:rsid w:val="00250F96"/>
    <w:rsid w:val="00566557"/>
    <w:rsid w:val="00570370"/>
    <w:rsid w:val="006010D0"/>
    <w:rsid w:val="007E25D7"/>
    <w:rsid w:val="007F7C03"/>
    <w:rsid w:val="00850F6C"/>
    <w:rsid w:val="009950A2"/>
    <w:rsid w:val="009D1238"/>
    <w:rsid w:val="009D7419"/>
    <w:rsid w:val="00A02D0F"/>
    <w:rsid w:val="00AD3761"/>
    <w:rsid w:val="00B3505A"/>
    <w:rsid w:val="00B4404D"/>
    <w:rsid w:val="00B63CBC"/>
    <w:rsid w:val="00B71796"/>
    <w:rsid w:val="00C8553E"/>
    <w:rsid w:val="00C90938"/>
    <w:rsid w:val="00DB7092"/>
    <w:rsid w:val="00E9197B"/>
    <w:rsid w:val="00F2088F"/>
    <w:rsid w:val="00FB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D7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D74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35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1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7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5</cp:revision>
  <dcterms:created xsi:type="dcterms:W3CDTF">2018-04-11T10:58:00Z</dcterms:created>
  <dcterms:modified xsi:type="dcterms:W3CDTF">2018-04-12T06:18:00Z</dcterms:modified>
</cp:coreProperties>
</file>