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2" w:rsidRPr="0045464C" w:rsidRDefault="006C0D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464C">
        <w:rPr>
          <w:rFonts w:ascii="Times New Roman" w:hAnsi="Times New Roman" w:cs="Times New Roman"/>
          <w:sz w:val="28"/>
          <w:szCs w:val="28"/>
          <w:lang w:val="uk-UA"/>
        </w:rPr>
        <w:t>Тези доповіді «</w:t>
      </w:r>
      <w:r w:rsidRPr="0045464C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наземних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5464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0D67" w:rsidRPr="0045464C" w:rsidRDefault="006C0D67" w:rsidP="006C0D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загальної площі Черкаської області (2091,6 тис. га) сільськогосподарські землі складають 1487,5 тис. га, в тому числі сільськогосподарські угіддя. </w:t>
      </w:r>
      <w:r w:rsidR="004546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5464C">
        <w:rPr>
          <w:rFonts w:ascii="Times New Roman" w:hAnsi="Times New Roman" w:cs="Times New Roman"/>
          <w:sz w:val="28"/>
          <w:szCs w:val="28"/>
          <w:lang w:val="uk-UA"/>
        </w:rPr>
        <w:t>емлі лісогосподарського призначення займають 338,5 тис. га</w:t>
      </w:r>
      <w:r w:rsidR="00454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D67" w:rsidRPr="0045464C" w:rsidRDefault="006C0D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46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361,8 тис</w:t>
      </w:r>
      <w:proofErr w:type="gramStart"/>
      <w:r w:rsidRPr="00454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6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деградованих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та 108,8 тис. га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малопродуктивних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земель. </w:t>
      </w:r>
    </w:p>
    <w:p w:rsidR="0045464C" w:rsidRDefault="006C0D67" w:rsidP="006C0D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фінансування на обстеження ґрунтів з 1983 року не дає змоги на сьогодні реально оцінити якісний стан земель, зокрема динаміку ерозійних процесів водної і вітрової ерозії, засолення, осолонцювання, осолодіння, </w:t>
      </w:r>
      <w:proofErr w:type="spellStart"/>
      <w:r w:rsidRPr="0045464C">
        <w:rPr>
          <w:rFonts w:ascii="Times New Roman" w:hAnsi="Times New Roman" w:cs="Times New Roman"/>
          <w:sz w:val="28"/>
          <w:szCs w:val="28"/>
          <w:lang w:val="uk-UA"/>
        </w:rPr>
        <w:t>закислення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, підтоплення </w:t>
      </w:r>
      <w:proofErr w:type="spellStart"/>
      <w:r w:rsidRPr="0045464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 та інших ознак, що впливають на їх родючість. Для достовірної характеристики якісного стану земель області періодичність таких обстежень по кожній місцевій раді становить 10-15 років. </w:t>
      </w:r>
    </w:p>
    <w:p w:rsidR="0045464C" w:rsidRDefault="006C0D67" w:rsidP="006C0D6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Порушено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допустиме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45464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ріллі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кормових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агроландшафту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Сільськогосподарська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освоєність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допустиму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залишилась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незмінною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D67" w:rsidRPr="0045464C" w:rsidRDefault="006C0D67" w:rsidP="006C0D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464C">
        <w:rPr>
          <w:rFonts w:ascii="Times New Roman" w:hAnsi="Times New Roman" w:cs="Times New Roman"/>
          <w:sz w:val="28"/>
          <w:szCs w:val="28"/>
          <w:lang w:val="uk-UA"/>
        </w:rPr>
        <w:t>Нераціональна система землекористування призвела до тяжких екологічних наслідків, а саме наявності таких проявів деградації земель як ерозія, техногенне забруднення, вторинне осолонцювання, підтоплення та зсуви ґрунтів.</w:t>
      </w:r>
    </w:p>
    <w:p w:rsidR="006C0D67" w:rsidRPr="0045464C" w:rsidRDefault="006C0D67" w:rsidP="006C0D6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розорюваності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схилах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посіві</w:t>
      </w:r>
      <w:proofErr w:type="gramStart"/>
      <w:r w:rsidRPr="004546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просапних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культур та практично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обробітку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грунту приводить до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стану земель</w:t>
      </w:r>
    </w:p>
    <w:p w:rsidR="006C0D67" w:rsidRPr="0045464C" w:rsidRDefault="006C0D67" w:rsidP="006C0D67">
      <w:pPr>
        <w:rPr>
          <w:rFonts w:ascii="Times New Roman" w:hAnsi="Times New Roman" w:cs="Times New Roman"/>
          <w:sz w:val="28"/>
          <w:szCs w:val="28"/>
        </w:rPr>
      </w:pPr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використання важкої техніки відбувається ущільнення </w:t>
      </w:r>
      <w:proofErr w:type="spellStart"/>
      <w:r w:rsidRPr="0045464C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, розвиваються ерозійні процеси, надмірне використання добрив призводить до засолення </w:t>
      </w:r>
      <w:proofErr w:type="spellStart"/>
      <w:r w:rsidRPr="0045464C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, разом з тим з </w:t>
      </w:r>
      <w:proofErr w:type="spellStart"/>
      <w:r w:rsidRPr="0045464C">
        <w:rPr>
          <w:rFonts w:ascii="Times New Roman" w:hAnsi="Times New Roman" w:cs="Times New Roman"/>
          <w:sz w:val="28"/>
          <w:szCs w:val="28"/>
          <w:lang w:val="uk-UA"/>
        </w:rPr>
        <w:t>року-</w:t>
      </w:r>
      <w:proofErr w:type="spellEnd"/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  <w:lang w:val="uk-UA"/>
        </w:rPr>
        <w:t>в-рік</w:t>
      </w:r>
      <w:proofErr w:type="spellEnd"/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 родючість зменшується, однією з причин чого є виніс з полів родючого шару </w:t>
      </w:r>
      <w:proofErr w:type="spellStart"/>
      <w:r w:rsidRPr="0045464C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4546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46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час великий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розораними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D67" w:rsidRPr="0045464C" w:rsidRDefault="006C0D67" w:rsidP="006C0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464C">
        <w:rPr>
          <w:rFonts w:ascii="Times New Roman" w:hAnsi="Times New Roman" w:cs="Times New Roman"/>
          <w:sz w:val="28"/>
          <w:szCs w:val="28"/>
        </w:rPr>
        <w:lastRenderedPageBreak/>
        <w:t>Забруднення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промисловими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викидами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урожайність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культур та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>.</w:t>
      </w:r>
    </w:p>
    <w:p w:rsidR="006C0D67" w:rsidRPr="0045464C" w:rsidRDefault="006C0D67" w:rsidP="006C0D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464C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546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ґрунтових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вод,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метеорологічні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характер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випадання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температура та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454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D67" w:rsidRPr="0045464C" w:rsidRDefault="006C0D67" w:rsidP="006C0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грунтотворення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: </w:t>
      </w:r>
      <w:r w:rsidRPr="0045464C">
        <w:rPr>
          <w:rFonts w:ascii="Times New Roman" w:hAnsi="Times New Roman" w:cs="Times New Roman"/>
          <w:bCs/>
          <w:sz w:val="28"/>
          <w:szCs w:val="28"/>
        </w:rPr>
        <w:t xml:space="preserve">дернового, </w:t>
      </w:r>
      <w:proofErr w:type="spellStart"/>
      <w:proofErr w:type="gramStart"/>
      <w:r w:rsidRPr="0045464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5464C">
        <w:rPr>
          <w:rFonts w:ascii="Times New Roman" w:hAnsi="Times New Roman" w:cs="Times New Roman"/>
          <w:bCs/>
          <w:sz w:val="28"/>
          <w:szCs w:val="28"/>
        </w:rPr>
        <w:t>ідзолистого</w:t>
      </w:r>
      <w:proofErr w:type="spellEnd"/>
      <w:r w:rsidRPr="0045464C">
        <w:rPr>
          <w:rFonts w:ascii="Times New Roman" w:hAnsi="Times New Roman" w:cs="Times New Roman"/>
          <w:bCs/>
          <w:sz w:val="28"/>
          <w:szCs w:val="28"/>
        </w:rPr>
        <w:t xml:space="preserve"> та болотного</w:t>
      </w:r>
      <w:r w:rsidRPr="004546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546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дернового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лучні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чорноземно-лучні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546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покровом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лісової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підзолистий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ґрунтоутворення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безкарбонатних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материнських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породах (</w:t>
      </w:r>
      <w:proofErr w:type="spellStart"/>
      <w:proofErr w:type="gramStart"/>
      <w:r w:rsidRPr="004546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>ісках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хвойним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сосновим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дерново-підзолисті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супіщані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фунти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D67" w:rsidRPr="0045464C" w:rsidRDefault="006C0D67" w:rsidP="006C0D67">
      <w:pPr>
        <w:rPr>
          <w:rFonts w:ascii="Times New Roman" w:hAnsi="Times New Roman" w:cs="Times New Roman"/>
          <w:sz w:val="28"/>
          <w:szCs w:val="28"/>
        </w:rPr>
      </w:pPr>
      <w:r w:rsidRPr="0045464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багаторічних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64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центру «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Облдержродючість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кислих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зросли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у 3 рази. </w:t>
      </w:r>
      <w:proofErr w:type="gramStart"/>
      <w:r w:rsidRPr="0045464C">
        <w:rPr>
          <w:rFonts w:ascii="Times New Roman" w:hAnsi="Times New Roman" w:cs="Times New Roman"/>
          <w:sz w:val="28"/>
          <w:szCs w:val="28"/>
        </w:rPr>
        <w:t xml:space="preserve">За 20-річний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кислою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грунтового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5,5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збільшилась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на 35 - 40%,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обмінного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орному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грунту,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водно-фізичних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фізико-хімічних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кислу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proofErr w:type="gramEnd"/>
      <w:r w:rsidRPr="0045464C">
        <w:rPr>
          <w:rFonts w:ascii="Times New Roman" w:hAnsi="Times New Roman" w:cs="Times New Roman"/>
          <w:sz w:val="28"/>
          <w:szCs w:val="28"/>
        </w:rPr>
        <w:t xml:space="preserve"> грунтового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вилугувані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опідзолені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4546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лісові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кислу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сильнокислу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дерново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підзолисті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>.</w:t>
      </w:r>
    </w:p>
    <w:p w:rsidR="006C0D67" w:rsidRPr="0045464C" w:rsidRDefault="006C0D67" w:rsidP="006C0D67">
      <w:pPr>
        <w:rPr>
          <w:rFonts w:ascii="Times New Roman" w:hAnsi="Times New Roman" w:cs="Times New Roman"/>
          <w:sz w:val="28"/>
          <w:szCs w:val="28"/>
        </w:rPr>
      </w:pPr>
      <w:r w:rsidRPr="0045464C">
        <w:rPr>
          <w:rFonts w:ascii="Times New Roman" w:hAnsi="Times New Roman" w:cs="Times New Roman"/>
          <w:sz w:val="28"/>
          <w:szCs w:val="28"/>
        </w:rPr>
        <w:t xml:space="preserve">Правовому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регулюванню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характеру — «Про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низка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4546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546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відтворенню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5464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64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різною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), вони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земельного фонду,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, таким чином,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4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5464C">
        <w:rPr>
          <w:rFonts w:ascii="Times New Roman" w:hAnsi="Times New Roman" w:cs="Times New Roman"/>
          <w:sz w:val="28"/>
          <w:szCs w:val="28"/>
        </w:rPr>
        <w:t>.</w:t>
      </w:r>
    </w:p>
    <w:p w:rsidR="006C0D67" w:rsidRPr="006C0D67" w:rsidRDefault="006C0D67" w:rsidP="006C0D67"/>
    <w:p w:rsidR="006C0D67" w:rsidRPr="006C0D67" w:rsidRDefault="006C0D67">
      <w:pPr>
        <w:rPr>
          <w:lang w:val="uk-UA"/>
        </w:rPr>
      </w:pPr>
    </w:p>
    <w:sectPr w:rsidR="006C0D67" w:rsidRPr="006C0D67" w:rsidSect="006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67"/>
    <w:rsid w:val="0045464C"/>
    <w:rsid w:val="00604BB2"/>
    <w:rsid w:val="006C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2017-04-17T22:54:00Z</dcterms:created>
  <dcterms:modified xsi:type="dcterms:W3CDTF">2017-04-17T23:11:00Z</dcterms:modified>
</cp:coreProperties>
</file>