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22" w:rsidRDefault="00B91222" w:rsidP="00B91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6AC">
        <w:rPr>
          <w:rFonts w:ascii="Times New Roman" w:hAnsi="Times New Roman" w:cs="Times New Roman"/>
          <w:sz w:val="28"/>
          <w:szCs w:val="28"/>
        </w:rPr>
        <w:t>Тези</w:t>
      </w:r>
    </w:p>
    <w:p w:rsidR="00B91222" w:rsidRDefault="004915D8" w:rsidP="007E7C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Караченцев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 Ігорович</w:t>
      </w:r>
      <w:r w:rsidR="00B91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91222" w:rsidRDefault="004915D8" w:rsidP="007E7C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учень 8</w:t>
      </w:r>
      <w:r w:rsidR="00B91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класу  ЗОШ І-ІІ ступенів № 4 м. </w:t>
      </w:r>
      <w:proofErr w:type="spellStart"/>
      <w:r w:rsidR="00B91222">
        <w:rPr>
          <w:rFonts w:ascii="Times New Roman" w:hAnsi="Times New Roman" w:cs="Times New Roman"/>
          <w:color w:val="000000" w:themeColor="text1"/>
          <w:sz w:val="28"/>
          <w:szCs w:val="28"/>
        </w:rPr>
        <w:t>Авдіївка</w:t>
      </w:r>
      <w:proofErr w:type="spellEnd"/>
      <w:r w:rsidR="00B912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секція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Еколог – Юніор Дослідник</w:t>
      </w:r>
      <w:r w:rsidR="00B912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керівник: </w:t>
      </w:r>
      <w:proofErr w:type="spellStart"/>
      <w:r w:rsidR="00B91222">
        <w:rPr>
          <w:rFonts w:ascii="Times New Roman" w:hAnsi="Times New Roman" w:cs="Times New Roman"/>
          <w:color w:val="000000" w:themeColor="text1"/>
          <w:sz w:val="28"/>
          <w:szCs w:val="28"/>
        </w:rPr>
        <w:t>Прайс</w:t>
      </w:r>
      <w:proofErr w:type="spellEnd"/>
      <w:r w:rsidR="00B91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О.М</w:t>
      </w:r>
      <w:r w:rsidR="00B912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учитель біології та географії</w:t>
      </w:r>
      <w:r w:rsidR="00B9122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вищої категорії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старший 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1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ЗОШ І-ІІ ступенів № 4 м.  </w:t>
      </w:r>
      <w:proofErr w:type="spellStart"/>
      <w:r w:rsidR="00B91222">
        <w:rPr>
          <w:rFonts w:ascii="Times New Roman" w:hAnsi="Times New Roman" w:cs="Times New Roman"/>
          <w:color w:val="000000" w:themeColor="text1"/>
          <w:sz w:val="28"/>
          <w:szCs w:val="28"/>
        </w:rPr>
        <w:t>Авдіївка</w:t>
      </w:r>
      <w:proofErr w:type="spellEnd"/>
    </w:p>
    <w:p w:rsidR="007E7CE9" w:rsidRDefault="007E7CE9" w:rsidP="007E7C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5D8" w:rsidRDefault="004915D8" w:rsidP="00B912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 ҐРУНТІВ, ЇХ ЗМІНИ ТА ПРОДУКТИВНІСТЬ НАЗЕМНИХ ЕКОСИСТЕМ У ДОНЕЦЬКІЙ ОБЛАСТІ</w:t>
      </w:r>
    </w:p>
    <w:p w:rsidR="003F2D8C" w:rsidRDefault="00572058" w:rsidP="007E7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Ґрунти – одне з найбільших багатств України. Ґрунти вивчає </w:t>
      </w:r>
      <w:r w:rsidR="007E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географія ґрунтів, вона показує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закономірності просторового поширення </w:t>
      </w:r>
      <w:r w:rsidR="001D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ґрунтів, дає їм </w:t>
      </w:r>
      <w:r w:rsidR="007E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оцінку. Знання законів географії ґрунтів, </w:t>
      </w:r>
      <w:r w:rsidR="001D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зональних та регіональних особливостей ґрунтового покриву потрібні для раціонального використання земельних ресурсів, охорони і меліорації ґрунтів. </w:t>
      </w:r>
    </w:p>
    <w:p w:rsidR="003F2D8C" w:rsidRPr="003F2D8C" w:rsidRDefault="003F2D8C" w:rsidP="003F2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8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Актуальність</w:t>
      </w:r>
      <w:r w:rsidRPr="003F2D8C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та значення даної роботи полягає у тому, що вона дає можливість більш детально ознайомитись з будовою, різноманітністю , станом, продуктивністю ґрунтів Донецької області та проблемами, які пов'язані з відтворенням родючості ґрунтів, їх забрудненості.</w:t>
      </w:r>
    </w:p>
    <w:p w:rsidR="003F2D8C" w:rsidRPr="003F2D8C" w:rsidRDefault="003F2D8C" w:rsidP="003F2D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2D8C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Наукова новизна </w:t>
      </w:r>
      <w:r w:rsidRPr="003F2D8C">
        <w:rPr>
          <w:rFonts w:eastAsiaTheme="minorEastAsia"/>
          <w:kern w:val="24"/>
          <w:sz w:val="28"/>
          <w:szCs w:val="28"/>
          <w:lang w:val="uk-UA"/>
        </w:rPr>
        <w:t xml:space="preserve">дослідження полягає у тому, що на обласному рівні недостатньо вивчені питання з даної теми, тому існує потреба більш детального аналізу процесів, пов'язаних з продуктивністю екосистем Донецької області. </w:t>
      </w:r>
    </w:p>
    <w:p w:rsidR="003F2D8C" w:rsidRPr="003F2D8C" w:rsidRDefault="003F2D8C" w:rsidP="003F2D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D8C">
        <w:rPr>
          <w:rFonts w:eastAsiaTheme="minorEastAsia"/>
          <w:b/>
          <w:bCs/>
          <w:kern w:val="24"/>
          <w:sz w:val="28"/>
          <w:szCs w:val="28"/>
          <w:lang w:val="uk-UA"/>
        </w:rPr>
        <w:t>Метою</w:t>
      </w:r>
      <w:r w:rsidRPr="003F2D8C">
        <w:rPr>
          <w:rFonts w:eastAsiaTheme="minorEastAsia"/>
          <w:kern w:val="24"/>
          <w:sz w:val="28"/>
          <w:szCs w:val="28"/>
          <w:lang w:val="uk-UA"/>
        </w:rPr>
        <w:t xml:space="preserve"> даної роботи є проведення аналізу стану ґрунтів та </w:t>
      </w:r>
      <w:r>
        <w:rPr>
          <w:rFonts w:eastAsiaTheme="minorEastAsia"/>
          <w:kern w:val="24"/>
          <w:sz w:val="28"/>
          <w:szCs w:val="28"/>
          <w:lang w:val="uk-UA"/>
        </w:rPr>
        <w:t xml:space="preserve">визначення заходів підвищення </w:t>
      </w:r>
      <w:r w:rsidRPr="003F2D8C">
        <w:rPr>
          <w:rFonts w:eastAsiaTheme="minorEastAsia"/>
          <w:kern w:val="24"/>
          <w:sz w:val="28"/>
          <w:szCs w:val="28"/>
          <w:lang w:val="uk-UA"/>
        </w:rPr>
        <w:t>продуктивності екосистем Донецької області.</w:t>
      </w:r>
    </w:p>
    <w:p w:rsidR="003F2D8C" w:rsidRPr="003F2D8C" w:rsidRDefault="003F2D8C" w:rsidP="003F2D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2D8C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Предметом  дослідження </w:t>
      </w:r>
      <w:r w:rsidRPr="003F2D8C">
        <w:rPr>
          <w:rFonts w:eastAsiaTheme="minorEastAsia"/>
          <w:kern w:val="24"/>
          <w:sz w:val="28"/>
          <w:szCs w:val="28"/>
          <w:lang w:val="uk-UA"/>
        </w:rPr>
        <w:t>є вивчення динаміки зміни стану ґрунтів Донецької області.</w:t>
      </w:r>
    </w:p>
    <w:p w:rsidR="003F2D8C" w:rsidRDefault="003F2D8C" w:rsidP="001D4036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  <w:lang w:val="uk-UA"/>
        </w:rPr>
      </w:pPr>
      <w:r w:rsidRPr="003F2D8C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Об'єктом дослідження </w:t>
      </w:r>
      <w:r w:rsidRPr="003F2D8C">
        <w:rPr>
          <w:rFonts w:eastAsiaTheme="minorEastAsia"/>
          <w:kern w:val="24"/>
          <w:sz w:val="28"/>
          <w:szCs w:val="28"/>
          <w:lang w:val="uk-UA"/>
        </w:rPr>
        <w:t>є ґрунти Донецької області.</w:t>
      </w:r>
    </w:p>
    <w:p w:rsidR="003F2D8C" w:rsidRPr="003F2D8C" w:rsidRDefault="003F2D8C" w:rsidP="001D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досягнення поставленої мети не</w:t>
      </w:r>
      <w:r w:rsidRPr="009F3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 вирішити наступні завдання:</w:t>
      </w:r>
    </w:p>
    <w:p w:rsidR="003F2D8C" w:rsidRPr="00777C23" w:rsidRDefault="003F2D8C" w:rsidP="001D4036">
      <w:pPr>
        <w:pStyle w:val="a4"/>
        <w:numPr>
          <w:ilvl w:val="0"/>
          <w:numId w:val="3"/>
        </w:numPr>
        <w:ind w:left="0"/>
        <w:rPr>
          <w:sz w:val="28"/>
          <w:szCs w:val="28"/>
          <w:lang w:val="uk-UA"/>
        </w:rPr>
      </w:pPr>
      <w:r w:rsidRPr="00777C23">
        <w:rPr>
          <w:rFonts w:eastAsiaTheme="minorEastAsia"/>
          <w:kern w:val="24"/>
          <w:sz w:val="28"/>
          <w:szCs w:val="28"/>
          <w:lang w:val="uk-UA"/>
        </w:rPr>
        <w:t>Визначення значення ґрунтів для екосистем, а також для людини;</w:t>
      </w:r>
    </w:p>
    <w:p w:rsidR="003F2D8C" w:rsidRPr="00777C23" w:rsidRDefault="00777C23" w:rsidP="001D4036">
      <w:pPr>
        <w:pStyle w:val="a4"/>
        <w:numPr>
          <w:ilvl w:val="0"/>
          <w:numId w:val="3"/>
        </w:numPr>
        <w:ind w:left="0"/>
        <w:rPr>
          <w:sz w:val="28"/>
          <w:szCs w:val="28"/>
          <w:lang w:val="uk-UA"/>
        </w:rPr>
      </w:pPr>
      <w:r>
        <w:rPr>
          <w:rFonts w:eastAsiaTheme="minorEastAsia"/>
          <w:kern w:val="24"/>
          <w:sz w:val="28"/>
          <w:szCs w:val="28"/>
          <w:lang w:val="uk-UA"/>
        </w:rPr>
        <w:t>Провести аналі</w:t>
      </w:r>
      <w:r w:rsidR="003F2D8C" w:rsidRPr="00777C23">
        <w:rPr>
          <w:rFonts w:eastAsiaTheme="minorEastAsia"/>
          <w:kern w:val="24"/>
          <w:sz w:val="28"/>
          <w:szCs w:val="28"/>
          <w:lang w:val="uk-UA"/>
        </w:rPr>
        <w:t>з стану ґрунтів Донецької області;</w:t>
      </w:r>
    </w:p>
    <w:p w:rsidR="003F2D8C" w:rsidRPr="003F2D8C" w:rsidRDefault="003F2D8C" w:rsidP="001D4036">
      <w:pPr>
        <w:pStyle w:val="a4"/>
        <w:numPr>
          <w:ilvl w:val="0"/>
          <w:numId w:val="3"/>
        </w:numPr>
        <w:ind w:left="0"/>
        <w:rPr>
          <w:sz w:val="28"/>
          <w:szCs w:val="28"/>
        </w:rPr>
      </w:pPr>
      <w:r w:rsidRPr="003F2D8C">
        <w:rPr>
          <w:rFonts w:eastAsiaTheme="minorEastAsia"/>
          <w:kern w:val="24"/>
          <w:sz w:val="28"/>
          <w:szCs w:val="28"/>
          <w:lang w:val="uk-UA"/>
        </w:rPr>
        <w:t>Розглянути особливості розміщення ґрунтів по території Донецького краю;</w:t>
      </w:r>
    </w:p>
    <w:p w:rsidR="003F2D8C" w:rsidRPr="003F2D8C" w:rsidRDefault="003F2D8C" w:rsidP="001D4036">
      <w:pPr>
        <w:pStyle w:val="a4"/>
        <w:numPr>
          <w:ilvl w:val="0"/>
          <w:numId w:val="3"/>
        </w:numPr>
        <w:ind w:left="0"/>
        <w:rPr>
          <w:sz w:val="28"/>
          <w:szCs w:val="28"/>
        </w:rPr>
      </w:pPr>
      <w:r w:rsidRPr="003F2D8C">
        <w:rPr>
          <w:rFonts w:eastAsiaTheme="minorEastAsia"/>
          <w:kern w:val="24"/>
          <w:sz w:val="28"/>
          <w:szCs w:val="28"/>
          <w:lang w:val="uk-UA"/>
        </w:rPr>
        <w:t xml:space="preserve"> Вивчити склад ґрунтів</w:t>
      </w:r>
      <w:r w:rsidRPr="003F2D8C">
        <w:rPr>
          <w:rFonts w:eastAsiaTheme="minorEastAsia"/>
          <w:kern w:val="24"/>
          <w:sz w:val="28"/>
          <w:szCs w:val="28"/>
        </w:rPr>
        <w:t>;</w:t>
      </w:r>
    </w:p>
    <w:p w:rsidR="003F2D8C" w:rsidRPr="003F2D8C" w:rsidRDefault="003F2D8C" w:rsidP="001D4036">
      <w:pPr>
        <w:pStyle w:val="a4"/>
        <w:numPr>
          <w:ilvl w:val="0"/>
          <w:numId w:val="3"/>
        </w:numPr>
        <w:ind w:left="0"/>
        <w:rPr>
          <w:sz w:val="28"/>
          <w:szCs w:val="28"/>
        </w:rPr>
      </w:pPr>
      <w:r w:rsidRPr="003F2D8C">
        <w:rPr>
          <w:rFonts w:eastAsiaTheme="minorEastAsia"/>
          <w:kern w:val="24"/>
          <w:sz w:val="28"/>
          <w:szCs w:val="28"/>
          <w:lang w:val="uk-UA"/>
        </w:rPr>
        <w:t>Дати оцінку продуктивності екосистем Донецької області</w:t>
      </w:r>
      <w:r w:rsidR="00063D8B">
        <w:rPr>
          <w:rFonts w:eastAsiaTheme="minorEastAsia"/>
          <w:kern w:val="24"/>
          <w:sz w:val="28"/>
          <w:szCs w:val="28"/>
          <w:lang w:val="uk-UA"/>
        </w:rPr>
        <w:t xml:space="preserve">. </w:t>
      </w:r>
    </w:p>
    <w:p w:rsidR="003F2D8C" w:rsidRDefault="003F2D8C" w:rsidP="0081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вирішення поставлених завдань були використані наступні методи:</w:t>
      </w:r>
      <w:r w:rsidRPr="009F36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. Статистико - математичний метод дозволив проаналізувати </w:t>
      </w:r>
      <w:r w:rsidR="0079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змінюються </w:t>
      </w:r>
      <w:r w:rsidRPr="009F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</w:t>
      </w:r>
      <w:r w:rsidR="000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показники </w:t>
      </w:r>
      <w:r w:rsidR="007946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 ґрунтів на протязі певного періоду;</w:t>
      </w:r>
    </w:p>
    <w:p w:rsidR="00704D38" w:rsidRDefault="003F2D8C" w:rsidP="0081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 Науково - описовий метод дозволив описати </w:t>
      </w:r>
      <w:r w:rsidR="0081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будову ґрунтів, </w:t>
      </w:r>
      <w:r w:rsidRPr="009F3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r w:rsidR="0079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проблеми пов'язані</w:t>
      </w:r>
      <w:r w:rsidR="0081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використанням ґрунтів,  а також </w:t>
      </w:r>
      <w:r w:rsidR="0079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фактори </w:t>
      </w:r>
      <w:r w:rsidR="00815D06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деградації.</w:t>
      </w:r>
    </w:p>
    <w:p w:rsidR="00815D06" w:rsidRDefault="003F2D8C" w:rsidP="0081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. Метод спостереження дозволив розкрити залежність </w:t>
      </w:r>
      <w:r w:rsidR="00815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ґрунтів від економічної та політичної ситуації в 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C23" w:rsidRDefault="00777C23" w:rsidP="0081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Картоґрафічний метод дозволив проаналізувати як розташовані основні типи ґрунтів по території Донецької області. </w:t>
      </w:r>
    </w:p>
    <w:p w:rsidR="003F2D8C" w:rsidRDefault="003F2D8C" w:rsidP="0081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36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процесі підготовки роботи були використан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навчальні , науково-методичні</w:t>
      </w:r>
      <w:r w:rsidRPr="009F36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статистичні дані , самі останні 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домості та результати особистих </w:t>
      </w:r>
      <w:r w:rsidRPr="009F3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 .</w:t>
      </w:r>
    </w:p>
    <w:p w:rsidR="008D262D" w:rsidRPr="00A546B6" w:rsidRDefault="001D4036" w:rsidP="004E3F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CC4FA9" w:rsidRPr="006F15BB">
        <w:rPr>
          <w:sz w:val="28"/>
          <w:szCs w:val="28"/>
          <w:lang w:val="uk-UA"/>
        </w:rPr>
        <w:t>Ґ</w:t>
      </w:r>
      <w:r w:rsidR="008D262D" w:rsidRPr="006F15BB">
        <w:rPr>
          <w:sz w:val="28"/>
          <w:szCs w:val="28"/>
          <w:lang w:val="uk-UA"/>
        </w:rPr>
        <w:t>рунти Донецької області сформувалися під впливом багатьох факторів посушливого клімату, живих організмів, складу і будови материнських</w:t>
      </w:r>
      <w:r w:rsidR="008D262D" w:rsidRPr="006F15BB">
        <w:rPr>
          <w:rStyle w:val="apple-converted-space"/>
          <w:sz w:val="28"/>
          <w:szCs w:val="28"/>
          <w:lang w:val="uk-UA"/>
        </w:rPr>
        <w:t> </w:t>
      </w:r>
      <w:r w:rsidR="008D262D" w:rsidRPr="006F15BB">
        <w:rPr>
          <w:sz w:val="28"/>
          <w:szCs w:val="28"/>
          <w:lang w:val="uk-UA"/>
        </w:rPr>
        <w:t>порід, рельєфу місцевості. В межах Донецької області переважають звичайні чорноземи. Вони дуже родюч</w:t>
      </w:r>
      <w:r w:rsidR="00CC4FA9" w:rsidRPr="006F15BB">
        <w:rPr>
          <w:sz w:val="28"/>
          <w:szCs w:val="28"/>
          <w:lang w:val="uk-UA"/>
        </w:rPr>
        <w:t>і</w:t>
      </w:r>
      <w:r w:rsidR="006F15BB" w:rsidRPr="006F15BB">
        <w:rPr>
          <w:sz w:val="28"/>
          <w:szCs w:val="28"/>
          <w:lang w:val="uk-UA"/>
        </w:rPr>
        <w:t xml:space="preserve">. </w:t>
      </w:r>
      <w:r w:rsidR="008D262D" w:rsidRPr="006F15BB">
        <w:rPr>
          <w:sz w:val="28"/>
          <w:szCs w:val="28"/>
          <w:lang w:val="uk-UA"/>
        </w:rPr>
        <w:t>Їх формування відбувало</w:t>
      </w:r>
      <w:r w:rsidR="00CC4FA9" w:rsidRPr="006F15BB">
        <w:rPr>
          <w:sz w:val="28"/>
          <w:szCs w:val="28"/>
          <w:lang w:val="uk-UA"/>
        </w:rPr>
        <w:t xml:space="preserve">ся на лесових породах під </w:t>
      </w:r>
      <w:proofErr w:type="spellStart"/>
      <w:r w:rsidR="00CC4FA9" w:rsidRPr="006F15BB">
        <w:rPr>
          <w:sz w:val="28"/>
          <w:szCs w:val="28"/>
          <w:lang w:val="uk-UA"/>
        </w:rPr>
        <w:t>різно</w:t>
      </w:r>
      <w:r w:rsidR="008D262D" w:rsidRPr="006F15BB">
        <w:rPr>
          <w:sz w:val="28"/>
          <w:szCs w:val="28"/>
          <w:lang w:val="uk-UA"/>
        </w:rPr>
        <w:t>травно</w:t>
      </w:r>
      <w:proofErr w:type="spellEnd"/>
      <w:r w:rsidR="00777C23" w:rsidRPr="006F15BB">
        <w:rPr>
          <w:sz w:val="28"/>
          <w:szCs w:val="28"/>
          <w:lang w:val="uk-UA"/>
        </w:rPr>
        <w:t xml:space="preserve"> </w:t>
      </w:r>
      <w:r w:rsidR="00A546B6" w:rsidRPr="006F15BB">
        <w:rPr>
          <w:sz w:val="28"/>
          <w:szCs w:val="28"/>
          <w:lang w:val="uk-UA"/>
        </w:rPr>
        <w:t>–</w:t>
      </w:r>
      <w:r w:rsidR="00777C23" w:rsidRPr="006F15BB">
        <w:rPr>
          <w:sz w:val="28"/>
          <w:szCs w:val="28"/>
          <w:lang w:val="uk-UA"/>
        </w:rPr>
        <w:t xml:space="preserve"> </w:t>
      </w:r>
      <w:proofErr w:type="spellStart"/>
      <w:r w:rsidR="008D262D" w:rsidRPr="006F15BB">
        <w:rPr>
          <w:sz w:val="28"/>
          <w:szCs w:val="28"/>
          <w:lang w:val="uk-UA"/>
        </w:rPr>
        <w:t>типчаково</w:t>
      </w:r>
      <w:proofErr w:type="spellEnd"/>
      <w:r w:rsidR="00777C23" w:rsidRPr="006F15BB">
        <w:rPr>
          <w:sz w:val="28"/>
          <w:szCs w:val="28"/>
          <w:lang w:val="uk-UA"/>
        </w:rPr>
        <w:t xml:space="preserve"> </w:t>
      </w:r>
      <w:r w:rsidR="00A546B6" w:rsidRPr="006F15BB">
        <w:rPr>
          <w:sz w:val="28"/>
          <w:szCs w:val="28"/>
          <w:lang w:val="uk-UA"/>
        </w:rPr>
        <w:t>–</w:t>
      </w:r>
      <w:r w:rsidR="00777C23" w:rsidRPr="006F15BB">
        <w:rPr>
          <w:sz w:val="28"/>
          <w:szCs w:val="28"/>
          <w:lang w:val="uk-UA"/>
        </w:rPr>
        <w:t xml:space="preserve"> </w:t>
      </w:r>
      <w:r w:rsidR="008D262D" w:rsidRPr="006F15BB">
        <w:rPr>
          <w:sz w:val="28"/>
          <w:szCs w:val="28"/>
          <w:lang w:val="uk-UA"/>
        </w:rPr>
        <w:t>ков</w:t>
      </w:r>
      <w:r w:rsidR="00A546B6" w:rsidRPr="006F15BB">
        <w:rPr>
          <w:sz w:val="28"/>
          <w:szCs w:val="28"/>
          <w:lang w:val="uk-UA"/>
        </w:rPr>
        <w:t xml:space="preserve">иловим  </w:t>
      </w:r>
      <w:r w:rsidR="00A546B6">
        <w:rPr>
          <w:sz w:val="28"/>
          <w:szCs w:val="28"/>
          <w:lang w:val="uk-UA"/>
        </w:rPr>
        <w:t>степом</w:t>
      </w:r>
      <w:r w:rsidR="00822372">
        <w:rPr>
          <w:sz w:val="28"/>
          <w:szCs w:val="28"/>
          <w:lang w:val="uk-UA"/>
        </w:rPr>
        <w:t xml:space="preserve"> з глибоким </w:t>
      </w:r>
      <w:r w:rsidR="008D262D" w:rsidRPr="00A546B6">
        <w:rPr>
          <w:sz w:val="28"/>
          <w:szCs w:val="28"/>
          <w:lang w:val="uk-UA"/>
        </w:rPr>
        <w:t xml:space="preserve"> залягання підземних вод. </w:t>
      </w:r>
      <w:r w:rsidR="00A546B6" w:rsidRPr="00A546B6">
        <w:rPr>
          <w:sz w:val="28"/>
          <w:szCs w:val="28"/>
          <w:lang w:val="uk-UA"/>
        </w:rPr>
        <w:t>Густий трав’яний покрив степів сприяв  виникненню  великого  гумусного горизонту, який досягає 1,5 м. Вміст гумусу в них великий   до 12,5 -13%  у верхньому шарі.</w:t>
      </w:r>
    </w:p>
    <w:p w:rsidR="00F73EC7" w:rsidRPr="00F73EC7" w:rsidRDefault="00815D06" w:rsidP="004E3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3EC7">
        <w:rPr>
          <w:rFonts w:ascii="Times New Roman" w:hAnsi="Times New Roman" w:cs="Times New Roman"/>
          <w:sz w:val="28"/>
          <w:szCs w:val="28"/>
        </w:rPr>
        <w:t xml:space="preserve">Проведений аналіз стану ґрунтів  в Донецькій області </w:t>
      </w:r>
      <w:r w:rsidR="00B91222" w:rsidRPr="00F73EC7">
        <w:rPr>
          <w:rFonts w:ascii="Times New Roman" w:hAnsi="Times New Roman" w:cs="Times New Roman"/>
          <w:sz w:val="28"/>
          <w:szCs w:val="28"/>
        </w:rPr>
        <w:t xml:space="preserve">показав, що </w:t>
      </w:r>
      <w:r w:rsidR="004E3F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73EC7" w:rsidRPr="00F7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області землі підпадають під вплив водної та вітрової ерозії. </w:t>
      </w:r>
      <w:r w:rsidR="00F73EC7" w:rsidRPr="007E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Ерозійні процеси руйнують родючий шар ґрунтів, знижують вміст у ньому органічних речовин, азоту, фосфору, калію, мікроелементів та інших поживних речовин. Наукові дослідження свідчать, що </w:t>
      </w:r>
      <w:r w:rsidR="006F15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3EC7" w:rsidRPr="007E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цілому за рік від ерозії втрачається близько 0,7 млн. т гумусу.</w:t>
      </w:r>
      <w:r w:rsidR="00F73EC7" w:rsidRPr="00F7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73EC7" w:rsidRPr="00F7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Небезпечні екзогенні геологічні процеси і явища поширені більш як на 40% території області і включають селі, зсуви, обвали, карст, просідання ґрунту, абразію</w:t>
      </w:r>
      <w:r w:rsidR="00F73EC7" w:rsidRPr="00F7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73EC7" w:rsidRPr="00F7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Однією з найгостріших екологічних проблем в Донецькій області є поводження з відходами.</w:t>
      </w:r>
      <w:r w:rsidR="00F73EC7" w:rsidRPr="00F7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73EC7" w:rsidRPr="00F7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Серед небезпечних відходів, розміщених на території області, відходи, які містять ртуть, нікель, миш’як, свинець, непридатні для використання пестициди та отрутохімікати</w:t>
      </w:r>
      <w:r w:rsidR="00F73EC7" w:rsidRPr="00F73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F73EC7" w:rsidRPr="00F73EC7" w:rsidRDefault="00F73EC7" w:rsidP="0097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E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Встановлено, що в Д</w:t>
      </w:r>
      <w:r w:rsidR="004E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онецькій області практично всі ґ</w:t>
      </w:r>
      <w:r w:rsidRPr="00F73E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рунти (більше 95%) ві</w:t>
      </w:r>
      <w:r w:rsidRPr="00F7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дносяться до техногенно змінених </w:t>
      </w:r>
      <w:r w:rsidRPr="00F7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результаті інтенсивного використання їх у промисловості </w:t>
      </w:r>
      <w:r w:rsidRPr="00F7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сільському господарстві. </w:t>
      </w:r>
      <w:r w:rsidR="0082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Негативний вплив на стан ґрунтів здійснює АТО. Підраховано, що за добу в районі тільки </w:t>
      </w:r>
      <w:proofErr w:type="spellStart"/>
      <w:r w:rsidR="00822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Авдіївки</w:t>
      </w:r>
      <w:proofErr w:type="spellEnd"/>
      <w:r w:rsidR="0082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лягає близько 2000 снарядів, щоб розмінувати цю територію потрібно декілька десятків років. </w:t>
      </w:r>
    </w:p>
    <w:p w:rsidR="00822372" w:rsidRDefault="004E3F01" w:rsidP="00822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Підбиваючи підсумки дослідження </w:t>
      </w:r>
      <w:r w:rsidR="009708FA" w:rsidRPr="0097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встановлено, що найменш забруднені ґ</w:t>
      </w:r>
      <w:r w:rsidRPr="00F7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рунти і, отже, найбезпечніші для здоро</w:t>
      </w:r>
      <w:r w:rsid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в'я людини знаходяться </w:t>
      </w:r>
      <w:r w:rsidRPr="00F7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F7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Краснолиманському</w:t>
      </w:r>
      <w:proofErr w:type="spellEnd"/>
      <w:r w:rsidRPr="00F7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Слов'янському, </w:t>
      </w:r>
      <w:proofErr w:type="spellStart"/>
      <w:r w:rsidRPr="00F7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Олександрівськом</w:t>
      </w:r>
      <w:r w:rsid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Великоновосілківському</w:t>
      </w:r>
      <w:proofErr w:type="spellEnd"/>
      <w:r w:rsid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сільських районах. Найбільш забруднені і найнебез</w:t>
      </w:r>
      <w:r w:rsidR="006F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печніші для здоров'я населення ґ</w:t>
      </w:r>
      <w:r w:rsid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рунти</w:t>
      </w:r>
      <w:r w:rsidRPr="00F7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відзначені в містах</w:t>
      </w:r>
      <w:r w:rsid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Костянтинівка, Дзержинськ, Краматорськ, </w:t>
      </w:r>
      <w:r w:rsid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Маріуполь. </w:t>
      </w:r>
    </w:p>
    <w:p w:rsidR="00B91222" w:rsidRPr="006F15BB" w:rsidRDefault="006F15BB" w:rsidP="0082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BB">
        <w:rPr>
          <w:rFonts w:ascii="Times New Roman" w:hAnsi="Times New Roman" w:cs="Times New Roman"/>
          <w:sz w:val="28"/>
          <w:szCs w:val="28"/>
        </w:rPr>
        <w:t>Література:</w:t>
      </w:r>
    </w:p>
    <w:p w:rsidR="006F15BB" w:rsidRPr="006F15BB" w:rsidRDefault="006F15BB" w:rsidP="00822372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6F15BB">
        <w:rPr>
          <w:color w:val="000000"/>
          <w:sz w:val="28"/>
          <w:szCs w:val="28"/>
          <w:shd w:val="clear" w:color="auto" w:fill="FFFFFF"/>
          <w:lang w:val="uk-UA"/>
        </w:rPr>
        <w:t>Гончарук Є.І., Сидоренко Г.І. Гігієнічне</w:t>
      </w:r>
      <w:r w:rsidRPr="006F15BB">
        <w:rPr>
          <w:color w:val="000000"/>
          <w:sz w:val="28"/>
          <w:szCs w:val="28"/>
          <w:shd w:val="clear" w:color="auto" w:fill="FFFFFF"/>
          <w:lang w:val="uk-UA"/>
        </w:rPr>
        <w:t xml:space="preserve"> нормування хімічних речовин у ґ</w:t>
      </w:r>
      <w:r w:rsidRPr="006F15BB">
        <w:rPr>
          <w:color w:val="000000"/>
          <w:sz w:val="28"/>
          <w:szCs w:val="28"/>
          <w:shd w:val="clear" w:color="auto" w:fill="FFFFFF"/>
          <w:lang w:val="uk-UA"/>
        </w:rPr>
        <w:t>рунті: Керівництво. - М.: Медицина, 1986. - 320 с.</w:t>
      </w:r>
    </w:p>
    <w:p w:rsidR="006F15BB" w:rsidRPr="006F15BB" w:rsidRDefault="006F15BB" w:rsidP="00822372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6F15BB">
        <w:rPr>
          <w:color w:val="000000"/>
          <w:sz w:val="28"/>
          <w:szCs w:val="28"/>
          <w:shd w:val="clear" w:color="auto" w:fill="FFFFFF"/>
          <w:lang w:val="uk-UA"/>
        </w:rPr>
        <w:t>Довкілля Донеччини за 2009 рік/Головне управлінн</w:t>
      </w:r>
      <w:r w:rsidR="00604719">
        <w:rPr>
          <w:color w:val="000000"/>
          <w:sz w:val="28"/>
          <w:szCs w:val="28"/>
          <w:shd w:val="clear" w:color="auto" w:fill="FFFFFF"/>
          <w:lang w:val="uk-UA"/>
        </w:rPr>
        <w:t>я статистики у Донецькій області</w:t>
      </w:r>
      <w:bookmarkStart w:id="0" w:name="_GoBack"/>
      <w:bookmarkEnd w:id="0"/>
      <w:r w:rsidRPr="006F15BB">
        <w:rPr>
          <w:color w:val="000000"/>
          <w:sz w:val="28"/>
          <w:szCs w:val="28"/>
          <w:shd w:val="clear" w:color="auto" w:fill="FFFFFF"/>
          <w:lang w:val="uk-UA"/>
        </w:rPr>
        <w:t>. - Донецьк. - 2010. - 154 с.</w:t>
      </w:r>
    </w:p>
    <w:p w:rsidR="006F15BB" w:rsidRPr="00604719" w:rsidRDefault="006F15BB" w:rsidP="00822372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604719">
        <w:rPr>
          <w:color w:val="000000"/>
          <w:sz w:val="28"/>
          <w:szCs w:val="28"/>
          <w:lang w:val="uk-UA"/>
        </w:rPr>
        <w:t>Сафранов</w:t>
      </w:r>
      <w:proofErr w:type="spellEnd"/>
      <w:r w:rsidRPr="00604719">
        <w:rPr>
          <w:color w:val="000000"/>
          <w:sz w:val="28"/>
          <w:szCs w:val="28"/>
          <w:lang w:val="uk-UA"/>
        </w:rPr>
        <w:t xml:space="preserve"> Т.А. Екологічні основи природокористування. Львів: «Новий світ», 2003. – 248 с.</w:t>
      </w:r>
    </w:p>
    <w:p w:rsidR="00594003" w:rsidRPr="00604719" w:rsidRDefault="00822372" w:rsidP="00822372">
      <w:pPr>
        <w:pStyle w:val="a4"/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604719">
        <w:rPr>
          <w:color w:val="000000"/>
          <w:sz w:val="28"/>
          <w:szCs w:val="28"/>
          <w:lang w:val="uk-UA"/>
        </w:rPr>
        <w:t>Чорний І.Б. Географія ґ</w:t>
      </w:r>
      <w:r w:rsidR="006F15BB" w:rsidRPr="00604719">
        <w:rPr>
          <w:color w:val="000000"/>
          <w:sz w:val="28"/>
          <w:szCs w:val="28"/>
          <w:lang w:val="uk-UA"/>
        </w:rPr>
        <w:t xml:space="preserve">рунтів з основами ґрунтознавства: </w:t>
      </w:r>
      <w:proofErr w:type="spellStart"/>
      <w:r w:rsidR="006F15BB" w:rsidRPr="00604719">
        <w:rPr>
          <w:color w:val="000000"/>
          <w:sz w:val="28"/>
          <w:szCs w:val="28"/>
          <w:lang w:val="uk-UA"/>
        </w:rPr>
        <w:t>Навч</w:t>
      </w:r>
      <w:proofErr w:type="spellEnd"/>
      <w:r w:rsidR="006F15BB" w:rsidRPr="00604719">
        <w:rPr>
          <w:color w:val="000000"/>
          <w:sz w:val="28"/>
          <w:szCs w:val="28"/>
          <w:lang w:val="uk-UA"/>
        </w:rPr>
        <w:t xml:space="preserve">. посібник. </w:t>
      </w:r>
      <w:r w:rsidRPr="00604719">
        <w:rPr>
          <w:color w:val="000000"/>
          <w:sz w:val="28"/>
          <w:szCs w:val="28"/>
          <w:lang w:val="uk-UA"/>
        </w:rPr>
        <w:t>– К.: Вища школа, 1995. – 240 с.</w:t>
      </w:r>
    </w:p>
    <w:sectPr w:rsidR="00594003" w:rsidRPr="0060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961"/>
    <w:multiLevelType w:val="hybridMultilevel"/>
    <w:tmpl w:val="BE181230"/>
    <w:lvl w:ilvl="0" w:tplc="FC04B6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0E75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8040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CE93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8219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B2BD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7C12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38FD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9226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B2C2A30"/>
    <w:multiLevelType w:val="hybridMultilevel"/>
    <w:tmpl w:val="07081AE2"/>
    <w:lvl w:ilvl="0" w:tplc="DD8282F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D21034"/>
    <w:multiLevelType w:val="hybridMultilevel"/>
    <w:tmpl w:val="BAAE46CE"/>
    <w:lvl w:ilvl="0" w:tplc="D3248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73FBA"/>
    <w:multiLevelType w:val="hybridMultilevel"/>
    <w:tmpl w:val="A016D4DC"/>
    <w:lvl w:ilvl="0" w:tplc="527E1C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4"/>
    <w:rsid w:val="00063D8B"/>
    <w:rsid w:val="001D4036"/>
    <w:rsid w:val="003F2D8C"/>
    <w:rsid w:val="00477414"/>
    <w:rsid w:val="004915D8"/>
    <w:rsid w:val="004E3F01"/>
    <w:rsid w:val="00572058"/>
    <w:rsid w:val="00594003"/>
    <w:rsid w:val="00604719"/>
    <w:rsid w:val="006F15BB"/>
    <w:rsid w:val="006F2B2B"/>
    <w:rsid w:val="00704D38"/>
    <w:rsid w:val="00777C23"/>
    <w:rsid w:val="00794635"/>
    <w:rsid w:val="007E2084"/>
    <w:rsid w:val="007E7CE9"/>
    <w:rsid w:val="00815D06"/>
    <w:rsid w:val="00822372"/>
    <w:rsid w:val="008D262D"/>
    <w:rsid w:val="009708FA"/>
    <w:rsid w:val="00A546B6"/>
    <w:rsid w:val="00B91222"/>
    <w:rsid w:val="00CC4FA9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2A1A"/>
  <w15:chartTrackingRefBased/>
  <w15:docId w15:val="{3612DAC0-C046-46E4-80D7-F3229063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2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F2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D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2017-04-09T17:42:00Z</dcterms:created>
  <dcterms:modified xsi:type="dcterms:W3CDTF">2017-04-13T19:14:00Z</dcterms:modified>
</cp:coreProperties>
</file>