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Кава – як засіб перехоплення надтаємної інформації</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Мета проекту:  </w:t>
      </w:r>
      <w:r>
        <w:rPr>
          <w:rFonts w:ascii="Calibri" w:hAnsi="Calibri" w:cs="Calibri" w:eastAsia="Calibri"/>
          <w:color w:val="auto"/>
          <w:spacing w:val="0"/>
          <w:position w:val="0"/>
          <w:sz w:val="24"/>
          <w:shd w:fill="auto" w:val="clear"/>
        </w:rPr>
        <w:t xml:space="preserve">Застерегти глядачів  від одного з варіантів картярського шахрайства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і</w:t>
      </w:r>
      <w:r>
        <w:rPr>
          <w:rFonts w:ascii="Calibri" w:hAnsi="Calibri" w:cs="Calibri" w:eastAsia="Calibri"/>
          <w:color w:val="auto"/>
          <w:spacing w:val="0"/>
          <w:position w:val="0"/>
          <w:sz w:val="24"/>
          <w:shd w:fill="auto" w:val="clear"/>
        </w:rPr>
        <w:t xml:space="preserve"> нагадати їм основи шкільного курсу геометричної оптики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Реквізит: </w:t>
      </w:r>
      <w:r>
        <w:rPr>
          <w:rFonts w:ascii="Calibri" w:hAnsi="Calibri" w:cs="Calibri" w:eastAsia="Calibri"/>
          <w:color w:val="auto"/>
          <w:spacing w:val="0"/>
          <w:position w:val="0"/>
          <w:sz w:val="24"/>
          <w:shd w:fill="auto" w:val="clear"/>
        </w:rPr>
        <w:t xml:space="preserve">Колода гральних карт, чашка міцної кави, олівець, листок паперу, стіл, стільці, по можливості спеціальний артистичний одяг.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Наявність спеціальної підготовки: </w:t>
      </w:r>
      <w:r>
        <w:rPr>
          <w:rFonts w:ascii="Calibri" w:hAnsi="Calibri" w:cs="Calibri" w:eastAsia="Calibri"/>
          <w:color w:val="auto"/>
          <w:spacing w:val="0"/>
          <w:position w:val="0"/>
          <w:sz w:val="24"/>
          <w:shd w:fill="auto" w:val="clear"/>
        </w:rPr>
        <w:t xml:space="preserve">Не має потреби. Достаньо кількох репетицій перед показом.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Метод: </w:t>
      </w:r>
      <w:r>
        <w:rPr>
          <w:rFonts w:ascii="Calibri" w:hAnsi="Calibri" w:cs="Calibri" w:eastAsia="Calibri"/>
          <w:color w:val="auto"/>
          <w:spacing w:val="0"/>
          <w:position w:val="0"/>
          <w:sz w:val="24"/>
          <w:shd w:fill="auto" w:val="clear"/>
        </w:rPr>
        <w:t xml:space="preserve">Вже сама по собі назва фокусу є провокативною. Це з однієї сторони інтригує глядачів, а з іншої сторони, після розкриття механізму фокусу глибше вріжеться в пам</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ять та в майбутньому вбереже їх від одного з шахрайських прийомів. Власне розкриття шахрайської технології і є головною метою фокусу.</w:t>
      </w:r>
    </w:p>
    <w:p>
      <w:pPr>
        <w:spacing w:before="0" w:after="200" w:line="276"/>
        <w:ind w:right="0" w:left="-284"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виконувала цей фокус   наступним чином:</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Перетасувала карти.</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Запропонувала одному з глядачів вибрати будь-яку карту з колоди і покласти її вниз колоди.</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Колоду   карт взяла в руку, трішки припідняла над столом, так щоб не було видно нижньої карти, та  зробила три колові рухи над чашкою кави.</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Поклала колоду карт на листок паперу.</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Відпила три ковтки кави.</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Записала на листку номінал нижньої карти.</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Перевірила інформацію, перевернувши колоду.</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Впевнилась разом з ошелешеними глядачами в тому, що номінал карти був відгаданий.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наявності вимог від глядачів фокус може бути повторений ще кілька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Але, як це вже було вказано вище, головне в цьому фокусі є саме його розкриття.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Секрет фокусу:</w:t>
      </w:r>
      <w:r>
        <w:rPr>
          <w:rFonts w:ascii="Calibri" w:hAnsi="Calibri" w:cs="Calibri" w:eastAsia="Calibri"/>
          <w:color w:val="auto"/>
          <w:spacing w:val="0"/>
          <w:position w:val="0"/>
          <w:sz w:val="24"/>
          <w:shd w:fill="auto" w:val="clear"/>
        </w:rPr>
        <w:t xml:space="preserve"> Так як в каві, зазвичай, є трохи рослинних жирів, то на поверхні завареної кави утворюється тоненька  плівка, котра підсилює дзеркальний ефект від поверхні води. Тому, коли ми робимо ніби магічні паси над чашкою, при певних кутах зору,  ми можемо побачити відображення нижньої карти. Зрозуміло, що центр колового руху  карт дещо зміщений відносно чашки в сторону до глядачів, щоб ніхто з них сам не міг побачити відображення карти.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