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89" w:rsidRPr="003C2989" w:rsidRDefault="003C2989" w:rsidP="003C2989">
      <w:pPr>
        <w:spacing w:after="0"/>
      </w:pPr>
      <w:r w:rsidRPr="003C2989">
        <w:rPr>
          <w:lang w:val="vi-VN"/>
        </w:rPr>
        <w:t xml:space="preserve">Геноци́д (од грец. </w:t>
      </w:r>
      <w:r w:rsidRPr="003C2989">
        <w:rPr>
          <w:lang w:val="el-GR"/>
        </w:rPr>
        <w:t xml:space="preserve">γένος — </w:t>
      </w:r>
      <w:r w:rsidRPr="003C2989">
        <w:rPr>
          <w:lang w:val="vi-VN"/>
        </w:rPr>
        <w:t xml:space="preserve">род, плем'я та лат. </w:t>
      </w:r>
      <w:proofErr w:type="gramStart"/>
      <w:r w:rsidRPr="003C2989">
        <w:rPr>
          <w:lang w:val="en-US"/>
        </w:rPr>
        <w:t>caedo</w:t>
      </w:r>
      <w:proofErr w:type="gramEnd"/>
      <w:r w:rsidRPr="003C2989">
        <w:rPr>
          <w:lang w:val="en-US"/>
        </w:rPr>
        <w:t xml:space="preserve"> — </w:t>
      </w:r>
      <w:r w:rsidRPr="003C2989">
        <w:rPr>
          <w:lang w:val="vi-VN"/>
        </w:rPr>
        <w:t>убиваю) — цілеспрямовані дії з метою знищення повністю або частково окремих груп населення чи цілих народів за національними, етнічними, расовими або релігійними мотивами. До таких дій належать:</w:t>
      </w:r>
    </w:p>
    <w:p w:rsidR="00000000" w:rsidRPr="003C2989" w:rsidRDefault="007A7A94" w:rsidP="003C2989">
      <w:pPr>
        <w:numPr>
          <w:ilvl w:val="0"/>
          <w:numId w:val="2"/>
        </w:numPr>
        <w:spacing w:after="0"/>
        <w:ind w:left="0"/>
      </w:pPr>
      <w:r w:rsidRPr="003C2989">
        <w:rPr>
          <w:lang w:val="vi-VN"/>
        </w:rPr>
        <w:t>вбивство членів цієї групи;</w:t>
      </w:r>
    </w:p>
    <w:p w:rsidR="00000000" w:rsidRPr="003C2989" w:rsidRDefault="007A7A94" w:rsidP="003C2989">
      <w:pPr>
        <w:numPr>
          <w:ilvl w:val="0"/>
          <w:numId w:val="2"/>
        </w:numPr>
        <w:spacing w:after="0"/>
        <w:ind w:left="0"/>
      </w:pPr>
      <w:r w:rsidRPr="003C2989">
        <w:rPr>
          <w:lang w:val="vi-VN"/>
        </w:rPr>
        <w:t>нанесення тяжких</w:t>
      </w:r>
      <w:r w:rsidRPr="003C2989">
        <w:rPr>
          <w:lang w:val="vi-VN"/>
        </w:rPr>
        <w:t xml:space="preserve"> тілесних або психічних ушкоджень членам такої групи;</w:t>
      </w:r>
    </w:p>
    <w:p w:rsidR="00000000" w:rsidRPr="003C2989" w:rsidRDefault="007A7A94" w:rsidP="003C2989">
      <w:pPr>
        <w:numPr>
          <w:ilvl w:val="0"/>
          <w:numId w:val="2"/>
        </w:numPr>
        <w:spacing w:after="0"/>
        <w:ind w:left="0"/>
      </w:pPr>
      <w:r w:rsidRPr="003C2989">
        <w:rPr>
          <w:lang w:val="vi-VN"/>
        </w:rPr>
        <w:t>навмисне створення членам групи життєвих умов, які розраховані на повне або часткове знищення групи;</w:t>
      </w:r>
    </w:p>
    <w:p w:rsidR="00000000" w:rsidRPr="003C2989" w:rsidRDefault="007A7A94" w:rsidP="003C2989">
      <w:pPr>
        <w:numPr>
          <w:ilvl w:val="0"/>
          <w:numId w:val="2"/>
        </w:numPr>
        <w:spacing w:after="0"/>
        <w:ind w:left="0"/>
      </w:pPr>
      <w:r w:rsidRPr="003C2989">
        <w:rPr>
          <w:lang w:val="vi-VN"/>
        </w:rPr>
        <w:t>дії, розраховані на унеможливлення народження дітей в середовищі групи;</w:t>
      </w:r>
    </w:p>
    <w:p w:rsidR="00000000" w:rsidRPr="003C2989" w:rsidRDefault="007A7A94" w:rsidP="003C2989">
      <w:pPr>
        <w:numPr>
          <w:ilvl w:val="0"/>
          <w:numId w:val="2"/>
        </w:numPr>
        <w:spacing w:after="0"/>
        <w:ind w:left="0"/>
      </w:pPr>
      <w:r w:rsidRPr="003C2989">
        <w:rPr>
          <w:lang w:val="vi-VN"/>
        </w:rPr>
        <w:t>насильницька передача дітей цієї групи іншій групі.</w:t>
      </w:r>
    </w:p>
    <w:p w:rsidR="003C2989" w:rsidRDefault="003C2989" w:rsidP="003C2989">
      <w:pPr>
        <w:spacing w:after="0"/>
      </w:pPr>
      <w:r>
        <w:t>Геноцид гереро і нама (1904–1907)</w:t>
      </w:r>
    </w:p>
    <w:p w:rsidR="003C2989" w:rsidRDefault="003C2989" w:rsidP="003C2989">
      <w:pPr>
        <w:spacing w:after="0"/>
      </w:pPr>
      <w:r>
        <w:t>Геноцид ассирійці</w:t>
      </w:r>
      <w:proofErr w:type="gramStart"/>
      <w:r>
        <w:t>в</w:t>
      </w:r>
      <w:proofErr w:type="gramEnd"/>
      <w:r>
        <w:t xml:space="preserve"> у Туреччині (1914–1925)</w:t>
      </w:r>
    </w:p>
    <w:p w:rsidR="003C2989" w:rsidRDefault="003C2989" w:rsidP="003C2989">
      <w:pPr>
        <w:spacing w:after="0"/>
      </w:pPr>
      <w:r>
        <w:t xml:space="preserve">Геноцид вірмен в Туреччині (1915–1923) </w:t>
      </w:r>
      <w:proofErr w:type="gramStart"/>
      <w:r>
        <w:t>п</w:t>
      </w:r>
      <w:proofErr w:type="gramEnd"/>
      <w:r>
        <w:t>ід час та після Першої світової війни</w:t>
      </w:r>
    </w:p>
    <w:p w:rsidR="003C2989" w:rsidRDefault="003C2989" w:rsidP="003C2989">
      <w:pPr>
        <w:spacing w:after="0"/>
      </w:pPr>
      <w:r>
        <w:t>Геноцид понтійських грекі</w:t>
      </w:r>
      <w:proofErr w:type="gramStart"/>
      <w:r>
        <w:t>в</w:t>
      </w:r>
      <w:proofErr w:type="gramEnd"/>
      <w:r>
        <w:t xml:space="preserve"> у Туреччині (1914–1923)</w:t>
      </w:r>
    </w:p>
    <w:p w:rsidR="003C2989" w:rsidRDefault="003C2989" w:rsidP="003C2989">
      <w:pPr>
        <w:spacing w:after="0"/>
      </w:pPr>
      <w:r>
        <w:t>Геноцид українців (1932–1933) тоталітарним комуністичним режимом в СРСР</w:t>
      </w:r>
    </w:p>
    <w:p w:rsidR="003C2989" w:rsidRDefault="003C2989" w:rsidP="003C2989">
      <w:pPr>
        <w:spacing w:after="0"/>
      </w:pPr>
      <w:r>
        <w:t xml:space="preserve">Голокост (1939–1945) — геноцид євреїв нацистами Німеччини </w:t>
      </w:r>
      <w:proofErr w:type="gramStart"/>
      <w:r>
        <w:t>п</w:t>
      </w:r>
      <w:proofErr w:type="gramEnd"/>
      <w:r>
        <w:t>ід час Другої світової війни</w:t>
      </w:r>
    </w:p>
    <w:p w:rsidR="003C2989" w:rsidRDefault="003C2989" w:rsidP="003C2989">
      <w:pPr>
        <w:spacing w:after="0"/>
      </w:pPr>
      <w:r>
        <w:t xml:space="preserve">Геноцид циган (1935–1945) </w:t>
      </w:r>
      <w:proofErr w:type="gramStart"/>
      <w:r>
        <w:t>п</w:t>
      </w:r>
      <w:proofErr w:type="gramEnd"/>
      <w:r>
        <w:t>ід час Другої світової війни</w:t>
      </w:r>
    </w:p>
    <w:p w:rsidR="003C2989" w:rsidRDefault="003C2989" w:rsidP="003C2989">
      <w:pPr>
        <w:spacing w:after="0"/>
      </w:pPr>
      <w:r>
        <w:t xml:space="preserve">Героцид сербів (1941–1945) </w:t>
      </w:r>
      <w:proofErr w:type="gramStart"/>
      <w:r>
        <w:t>п</w:t>
      </w:r>
      <w:proofErr w:type="gramEnd"/>
      <w:r>
        <w:t>ід час Другої світової війни</w:t>
      </w:r>
    </w:p>
    <w:p w:rsidR="003C2989" w:rsidRDefault="003C2989" w:rsidP="003C2989">
      <w:pPr>
        <w:spacing w:after="0"/>
      </w:pPr>
      <w:r>
        <w:t xml:space="preserve">Геноцид камбоджійців </w:t>
      </w:r>
      <w:proofErr w:type="gramStart"/>
      <w:r>
        <w:t>п</w:t>
      </w:r>
      <w:proofErr w:type="gramEnd"/>
      <w:r>
        <w:t>ід час режиму червоних кхмерів (1975–1979)</w:t>
      </w:r>
    </w:p>
    <w:p w:rsidR="003C2989" w:rsidRDefault="003C2989" w:rsidP="003C2989">
      <w:pPr>
        <w:spacing w:after="0"/>
      </w:pPr>
      <w:r>
        <w:t xml:space="preserve">Геноцид у Руанді (тутсі та хуту) (1994) — найважчий </w:t>
      </w:r>
      <w:proofErr w:type="gramStart"/>
      <w:r>
        <w:t>п</w:t>
      </w:r>
      <w:proofErr w:type="gramEnd"/>
      <w:r>
        <w:t>ісля світових війн</w:t>
      </w:r>
    </w:p>
    <w:p w:rsidR="003C2989" w:rsidRDefault="003C2989" w:rsidP="003C2989">
      <w:pPr>
        <w:spacing w:after="0"/>
      </w:pPr>
      <w:r>
        <w:t xml:space="preserve">Геноцид у Сребрениці (1995) — злочин сербських сил проти боснійського </w:t>
      </w:r>
      <w:proofErr w:type="gramStart"/>
      <w:r>
        <w:t>мирного</w:t>
      </w:r>
      <w:proofErr w:type="gramEnd"/>
      <w:r>
        <w:t xml:space="preserve"> населення</w:t>
      </w:r>
    </w:p>
    <w:p w:rsidR="00276290" w:rsidRDefault="003C2989" w:rsidP="003C2989">
      <w:pPr>
        <w:spacing w:after="0"/>
        <w:rPr>
          <w:lang w:val="en-US"/>
        </w:rPr>
      </w:pPr>
      <w:r>
        <w:t>Геноцид у Дарфурі (Дарфур, Судан) — найнові</w:t>
      </w:r>
      <w:proofErr w:type="gramStart"/>
      <w:r>
        <w:t>ша</w:t>
      </w:r>
      <w:proofErr w:type="gramEnd"/>
      <w:r>
        <w:t xml:space="preserve"> трагедія</w:t>
      </w:r>
    </w:p>
    <w:p w:rsidR="003C2989" w:rsidRPr="003C2989" w:rsidRDefault="003C2989" w:rsidP="003C2989">
      <w:pPr>
        <w:spacing w:after="0"/>
      </w:pPr>
      <w:r w:rsidRPr="003C2989">
        <w:t>Геноцид</w:t>
      </w:r>
      <w:r w:rsidRPr="003C2989">
        <w:rPr>
          <w:lang w:val="en-US"/>
        </w:rPr>
        <w:t xml:space="preserve"> </w:t>
      </w:r>
      <w:r w:rsidRPr="003C2989">
        <w:t>племен</w:t>
      </w:r>
      <w:r w:rsidRPr="003C2989">
        <w:rPr>
          <w:lang w:val="en-US"/>
        </w:rPr>
        <w:t xml:space="preserve"> </w:t>
      </w:r>
      <w:r w:rsidRPr="003C2989">
        <w:t>гереро</w:t>
      </w:r>
      <w:r w:rsidRPr="003C2989">
        <w:rPr>
          <w:lang w:val="en-US"/>
        </w:rPr>
        <w:t xml:space="preserve"> </w:t>
      </w:r>
      <w:r w:rsidRPr="003C2989">
        <w:t>і</w:t>
      </w:r>
      <w:r w:rsidRPr="003C2989">
        <w:rPr>
          <w:lang w:val="en-US"/>
        </w:rPr>
        <w:t xml:space="preserve"> </w:t>
      </w:r>
      <w:r w:rsidRPr="003C2989">
        <w:t>нама</w:t>
      </w:r>
      <w:r w:rsidRPr="003C2989">
        <w:rPr>
          <w:lang w:val="en-US"/>
        </w:rPr>
        <w:t xml:space="preserve"> — </w:t>
      </w:r>
      <w:r w:rsidRPr="003C2989">
        <w:t>знищення</w:t>
      </w:r>
      <w:r w:rsidRPr="003C2989">
        <w:rPr>
          <w:lang w:val="en-US"/>
        </w:rPr>
        <w:t xml:space="preserve"> </w:t>
      </w:r>
      <w:r w:rsidRPr="003C2989">
        <w:t>в</w:t>
      </w:r>
      <w:r w:rsidRPr="003C2989">
        <w:rPr>
          <w:lang w:val="en-US"/>
        </w:rPr>
        <w:t xml:space="preserve"> 1904–1907 </w:t>
      </w:r>
      <w:r w:rsidRPr="003C2989">
        <w:t>роках</w:t>
      </w:r>
      <w:r w:rsidRPr="003C2989">
        <w:rPr>
          <w:lang w:val="en-US"/>
        </w:rPr>
        <w:t xml:space="preserve"> </w:t>
      </w:r>
      <w:r w:rsidRPr="003C2989">
        <w:t>колоніальними</w:t>
      </w:r>
      <w:r w:rsidRPr="003C2989">
        <w:rPr>
          <w:lang w:val="en-US"/>
        </w:rPr>
        <w:t xml:space="preserve"> </w:t>
      </w:r>
      <w:r w:rsidRPr="003C2989">
        <w:t>військами</w:t>
      </w:r>
      <w:r w:rsidRPr="003C2989">
        <w:rPr>
          <w:lang w:val="en-US"/>
        </w:rPr>
        <w:t xml:space="preserve"> </w:t>
      </w:r>
      <w:r w:rsidRPr="003C2989">
        <w:t>кайзерівської</w:t>
      </w:r>
      <w:r w:rsidRPr="003C2989">
        <w:rPr>
          <w:lang w:val="en-US"/>
        </w:rPr>
        <w:t xml:space="preserve"> </w:t>
      </w:r>
      <w:r w:rsidRPr="003C2989">
        <w:t>Німеччини</w:t>
      </w:r>
      <w:r w:rsidRPr="003C2989">
        <w:rPr>
          <w:lang w:val="en-US"/>
        </w:rPr>
        <w:t xml:space="preserve"> </w:t>
      </w:r>
      <w:r w:rsidRPr="003C2989">
        <w:t>близько</w:t>
      </w:r>
      <w:r w:rsidRPr="003C2989">
        <w:rPr>
          <w:lang w:val="en-US"/>
        </w:rPr>
        <w:t xml:space="preserve"> 65 000 (</w:t>
      </w:r>
      <w:r w:rsidRPr="003C2989">
        <w:t>до</w:t>
      </w:r>
      <w:r w:rsidRPr="003C2989">
        <w:rPr>
          <w:lang w:val="en-US"/>
        </w:rPr>
        <w:t xml:space="preserve"> 80%) </w:t>
      </w:r>
      <w:r w:rsidRPr="003C2989">
        <w:t>людей</w:t>
      </w:r>
      <w:r w:rsidRPr="003C2989">
        <w:rPr>
          <w:lang w:val="en-US"/>
        </w:rPr>
        <w:t xml:space="preserve"> </w:t>
      </w:r>
      <w:r w:rsidRPr="003C2989">
        <w:t>з</w:t>
      </w:r>
      <w:r w:rsidRPr="003C2989">
        <w:rPr>
          <w:lang w:val="en-US"/>
        </w:rPr>
        <w:t xml:space="preserve"> </w:t>
      </w:r>
      <w:r w:rsidRPr="003C2989">
        <w:t>племені</w:t>
      </w:r>
      <w:r w:rsidRPr="003C2989">
        <w:rPr>
          <w:lang w:val="en-US"/>
        </w:rPr>
        <w:t xml:space="preserve"> </w:t>
      </w:r>
      <w:r w:rsidRPr="003C2989">
        <w:t>гереро</w:t>
      </w:r>
      <w:r w:rsidRPr="003C2989">
        <w:rPr>
          <w:lang w:val="en-US"/>
        </w:rPr>
        <w:t xml:space="preserve"> (</w:t>
      </w:r>
      <w:r w:rsidRPr="003C2989">
        <w:t>банту</w:t>
      </w:r>
      <w:r w:rsidRPr="003C2989">
        <w:rPr>
          <w:lang w:val="en-US"/>
        </w:rPr>
        <w:t xml:space="preserve">) </w:t>
      </w:r>
      <w:r w:rsidRPr="003C2989">
        <w:t>і</w:t>
      </w:r>
      <w:r w:rsidRPr="003C2989">
        <w:rPr>
          <w:lang w:val="en-US"/>
        </w:rPr>
        <w:t xml:space="preserve"> 10 000 (50%) </w:t>
      </w:r>
      <w:r w:rsidRPr="003C2989">
        <w:t>осіб</w:t>
      </w:r>
      <w:r w:rsidRPr="003C2989">
        <w:rPr>
          <w:lang w:val="en-US"/>
        </w:rPr>
        <w:t xml:space="preserve"> </w:t>
      </w:r>
      <w:r w:rsidRPr="003C2989">
        <w:t>племені</w:t>
      </w:r>
      <w:r w:rsidRPr="003C2989">
        <w:rPr>
          <w:lang w:val="en-US"/>
        </w:rPr>
        <w:t xml:space="preserve"> </w:t>
      </w:r>
      <w:r w:rsidRPr="003C2989">
        <w:t>нама</w:t>
      </w:r>
      <w:r w:rsidRPr="003C2989">
        <w:rPr>
          <w:lang w:val="en-US"/>
        </w:rPr>
        <w:t xml:space="preserve"> (</w:t>
      </w:r>
      <w:r w:rsidRPr="003C2989">
        <w:t>готтентоти</w:t>
      </w:r>
      <w:r w:rsidRPr="003C2989">
        <w:rPr>
          <w:lang w:val="en-US"/>
        </w:rPr>
        <w:t xml:space="preserve">) </w:t>
      </w:r>
      <w:r w:rsidRPr="003C2989">
        <w:t>в</w:t>
      </w:r>
      <w:r w:rsidRPr="003C2989">
        <w:rPr>
          <w:lang w:val="en-US"/>
        </w:rPr>
        <w:t xml:space="preserve"> </w:t>
      </w:r>
      <w:r w:rsidRPr="003C2989">
        <w:t>Німецькій</w:t>
      </w:r>
      <w:r w:rsidRPr="003C2989">
        <w:rPr>
          <w:lang w:val="en-US"/>
        </w:rPr>
        <w:t xml:space="preserve"> </w:t>
      </w:r>
      <w:proofErr w:type="gramStart"/>
      <w:r w:rsidRPr="003C2989">
        <w:t>П</w:t>
      </w:r>
      <w:proofErr w:type="gramEnd"/>
      <w:r w:rsidRPr="003C2989">
        <w:t>івденно</w:t>
      </w:r>
      <w:r w:rsidRPr="003C2989">
        <w:rPr>
          <w:lang w:val="en-US"/>
        </w:rPr>
        <w:t>-</w:t>
      </w:r>
      <w:r w:rsidRPr="003C2989">
        <w:t>Західній</w:t>
      </w:r>
      <w:r w:rsidRPr="003C2989">
        <w:rPr>
          <w:lang w:val="en-US"/>
        </w:rPr>
        <w:t xml:space="preserve"> </w:t>
      </w:r>
      <w:r w:rsidRPr="003C2989">
        <w:t>Африці</w:t>
      </w:r>
      <w:r w:rsidRPr="003C2989">
        <w:rPr>
          <w:lang w:val="en-US"/>
        </w:rPr>
        <w:t xml:space="preserve"> </w:t>
      </w:r>
      <w:r w:rsidRPr="003C2989">
        <w:t>на</w:t>
      </w:r>
      <w:r w:rsidRPr="003C2989">
        <w:rPr>
          <w:lang w:val="en-US"/>
        </w:rPr>
        <w:t xml:space="preserve"> </w:t>
      </w:r>
      <w:r w:rsidRPr="003C2989">
        <w:t>території</w:t>
      </w:r>
      <w:r w:rsidRPr="003C2989">
        <w:rPr>
          <w:lang w:val="en-US"/>
        </w:rPr>
        <w:t xml:space="preserve"> </w:t>
      </w:r>
      <w:r w:rsidRPr="003C2989">
        <w:t>сучасної</w:t>
      </w:r>
      <w:r w:rsidRPr="003C2989">
        <w:rPr>
          <w:lang w:val="en-US"/>
        </w:rPr>
        <w:t xml:space="preserve"> </w:t>
      </w:r>
      <w:r w:rsidRPr="003C2989">
        <w:t>Намібії</w:t>
      </w:r>
      <w:r w:rsidRPr="003C2989">
        <w:rPr>
          <w:lang w:val="en-US"/>
        </w:rPr>
        <w:t xml:space="preserve"> </w:t>
      </w:r>
      <w:r w:rsidRPr="003C2989">
        <w:t>в</w:t>
      </w:r>
      <w:r w:rsidRPr="003C2989">
        <w:rPr>
          <w:lang w:val="en-US"/>
        </w:rPr>
        <w:t xml:space="preserve"> </w:t>
      </w:r>
      <w:r w:rsidRPr="003C2989">
        <w:t>ході</w:t>
      </w:r>
      <w:r w:rsidRPr="003C2989">
        <w:rPr>
          <w:lang w:val="en-US"/>
        </w:rPr>
        <w:t xml:space="preserve"> </w:t>
      </w:r>
      <w:r w:rsidRPr="003C2989">
        <w:t>жорстокого</w:t>
      </w:r>
      <w:r w:rsidRPr="003C2989">
        <w:rPr>
          <w:lang w:val="en-US"/>
        </w:rPr>
        <w:t xml:space="preserve"> </w:t>
      </w:r>
      <w:r w:rsidRPr="003C2989">
        <w:t>придушення</w:t>
      </w:r>
      <w:r w:rsidRPr="003C2989">
        <w:rPr>
          <w:lang w:val="en-US"/>
        </w:rPr>
        <w:t xml:space="preserve"> </w:t>
      </w:r>
      <w:r w:rsidRPr="003C2989">
        <w:t>народного</w:t>
      </w:r>
      <w:r w:rsidRPr="003C2989">
        <w:rPr>
          <w:lang w:val="en-US"/>
        </w:rPr>
        <w:t xml:space="preserve"> </w:t>
      </w:r>
      <w:r w:rsidRPr="003C2989">
        <w:t>повстання</w:t>
      </w:r>
      <w:r w:rsidRPr="003C2989">
        <w:rPr>
          <w:lang w:val="en-US"/>
        </w:rPr>
        <w:t xml:space="preserve">. </w:t>
      </w:r>
      <w:r w:rsidRPr="003C2989">
        <w:t>У</w:t>
      </w:r>
      <w:r w:rsidRPr="003C2989">
        <w:rPr>
          <w:lang w:val="en-US"/>
        </w:rPr>
        <w:t xml:space="preserve"> 1985 </w:t>
      </w:r>
      <w:r w:rsidRPr="003C2989">
        <w:t>році</w:t>
      </w:r>
      <w:r w:rsidRPr="003C2989">
        <w:rPr>
          <w:lang w:val="en-US"/>
        </w:rPr>
        <w:t xml:space="preserve"> </w:t>
      </w:r>
      <w:r w:rsidRPr="003C2989">
        <w:t>доповідь</w:t>
      </w:r>
      <w:r w:rsidRPr="003C2989">
        <w:rPr>
          <w:lang w:val="en-US"/>
        </w:rPr>
        <w:t xml:space="preserve"> </w:t>
      </w:r>
      <w:r w:rsidRPr="003C2989">
        <w:t>ООН</w:t>
      </w:r>
      <w:r w:rsidRPr="003C2989">
        <w:rPr>
          <w:lang w:val="en-US"/>
        </w:rPr>
        <w:t xml:space="preserve"> </w:t>
      </w:r>
      <w:r w:rsidRPr="003C2989">
        <w:t>віднесла</w:t>
      </w:r>
      <w:r w:rsidRPr="003C2989">
        <w:rPr>
          <w:lang w:val="en-US"/>
        </w:rPr>
        <w:t xml:space="preserve"> </w:t>
      </w:r>
      <w:r w:rsidRPr="003C2989">
        <w:t>знищення</w:t>
      </w:r>
      <w:r w:rsidRPr="003C2989">
        <w:rPr>
          <w:lang w:val="en-US"/>
        </w:rPr>
        <w:t xml:space="preserve"> </w:t>
      </w:r>
      <w:r w:rsidRPr="003C2989">
        <w:t>племен</w:t>
      </w:r>
      <w:r w:rsidRPr="003C2989">
        <w:rPr>
          <w:lang w:val="en-US"/>
        </w:rPr>
        <w:t xml:space="preserve"> </w:t>
      </w:r>
      <w:r w:rsidRPr="003C2989">
        <w:t>до</w:t>
      </w:r>
      <w:r w:rsidRPr="003C2989">
        <w:rPr>
          <w:lang w:val="en-US"/>
        </w:rPr>
        <w:t xml:space="preserve"> </w:t>
      </w:r>
      <w:r w:rsidRPr="003C2989">
        <w:t>акті</w:t>
      </w:r>
      <w:proofErr w:type="gramStart"/>
      <w:r w:rsidRPr="003C2989">
        <w:t>в</w:t>
      </w:r>
      <w:proofErr w:type="gramEnd"/>
      <w:r w:rsidRPr="003C2989">
        <w:rPr>
          <w:lang w:val="en-US"/>
        </w:rPr>
        <w:t xml:space="preserve"> </w:t>
      </w:r>
      <w:r w:rsidRPr="003C2989">
        <w:t>геноциду</w:t>
      </w:r>
      <w:r w:rsidRPr="003C2989">
        <w:rPr>
          <w:lang w:val="en-US"/>
        </w:rPr>
        <w:t xml:space="preserve">, </w:t>
      </w:r>
      <w:r w:rsidRPr="003C2989">
        <w:t>порівнюючи</w:t>
      </w:r>
      <w:r w:rsidRPr="003C2989">
        <w:rPr>
          <w:lang w:val="en-US"/>
        </w:rPr>
        <w:t xml:space="preserve"> </w:t>
      </w:r>
      <w:r w:rsidRPr="003C2989">
        <w:t>його</w:t>
      </w:r>
      <w:r w:rsidRPr="003C2989">
        <w:rPr>
          <w:lang w:val="en-US"/>
        </w:rPr>
        <w:t xml:space="preserve"> </w:t>
      </w:r>
      <w:r w:rsidRPr="003C2989">
        <w:t>з</w:t>
      </w:r>
      <w:r w:rsidRPr="003C2989">
        <w:rPr>
          <w:lang w:val="en-US"/>
        </w:rPr>
        <w:t xml:space="preserve"> </w:t>
      </w:r>
      <w:r w:rsidRPr="003C2989">
        <w:t>нацистським</w:t>
      </w:r>
      <w:r w:rsidRPr="003C2989">
        <w:rPr>
          <w:lang w:val="en-US"/>
        </w:rPr>
        <w:t xml:space="preserve"> </w:t>
      </w:r>
      <w:r w:rsidRPr="003C2989">
        <w:t>геноцидом</w:t>
      </w:r>
      <w:r w:rsidRPr="003C2989">
        <w:rPr>
          <w:lang w:val="en-US"/>
        </w:rPr>
        <w:t xml:space="preserve"> </w:t>
      </w:r>
      <w:r w:rsidRPr="003C2989">
        <w:t>євреїв</w:t>
      </w:r>
      <w:r w:rsidRPr="003C2989">
        <w:rPr>
          <w:lang w:val="en-US"/>
        </w:rPr>
        <w:t xml:space="preserve">. </w:t>
      </w:r>
      <w:r w:rsidRPr="003C2989">
        <w:t>У 2004 році Німеччина визнала вчинення геноциду в Намібії.</w:t>
      </w:r>
    </w:p>
    <w:p w:rsidR="003C2989" w:rsidRPr="003C2989" w:rsidRDefault="003C2989" w:rsidP="003C2989">
      <w:pPr>
        <w:spacing w:after="0"/>
      </w:pPr>
      <w:r w:rsidRPr="003C2989">
        <w:t xml:space="preserve">В 1884 році </w:t>
      </w:r>
      <w:proofErr w:type="gramStart"/>
      <w:r w:rsidRPr="003C2989">
        <w:t>п</w:t>
      </w:r>
      <w:proofErr w:type="gramEnd"/>
      <w:r w:rsidRPr="003C2989">
        <w:t>ісля того, як Британія дала зрозуміти, що не має зацікавленості в територіях Намібії, Німеччина оголосила їх протекторатом. Колонізатори використовували рабську працю місцевих племен, захопивши землі і ресурси країни (алмази).</w:t>
      </w:r>
    </w:p>
    <w:p w:rsidR="003C2989" w:rsidRPr="003C2989" w:rsidRDefault="003C2989" w:rsidP="003C2989">
      <w:pPr>
        <w:spacing w:after="0"/>
      </w:pPr>
      <w:r w:rsidRPr="003C2989">
        <w:t>Геноцид ассирійців (арам</w:t>
      </w:r>
      <w:proofErr w:type="gramStart"/>
      <w:r w:rsidRPr="003C2989">
        <w:t>.</w:t>
      </w:r>
      <w:proofErr w:type="gramEnd"/>
      <w:r w:rsidRPr="003C2989"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ܩ</w:t>
      </w:r>
      <w:r w:rsidRPr="003C2989">
        <w:rPr>
          <w:rtl/>
          <w:lang w:bidi="syr-SY"/>
        </w:rPr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ܛ</w:t>
      </w:r>
      <w:r w:rsidRPr="003C2989">
        <w:rPr>
          <w:rtl/>
          <w:lang w:bidi="syr-SY"/>
        </w:rPr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ܠ</w:t>
      </w:r>
      <w:r w:rsidRPr="003C2989">
        <w:rPr>
          <w:rtl/>
          <w:lang w:bidi="syr-SY"/>
        </w:rPr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ܥ</w:t>
      </w:r>
      <w:r w:rsidRPr="003C2989">
        <w:rPr>
          <w:rtl/>
          <w:lang w:bidi="syr-SY"/>
        </w:rPr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ܡ</w:t>
      </w:r>
      <w:r w:rsidRPr="003C2989">
        <w:rPr>
          <w:rtl/>
          <w:lang w:bidi="syr-SY"/>
        </w:rPr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ܐ</w:t>
      </w:r>
      <w:r w:rsidRPr="003C2989">
        <w:rPr>
          <w:rtl/>
          <w:lang w:bidi="syr-SY"/>
        </w:rPr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ܡ</w:t>
      </w:r>
      <w:r w:rsidRPr="003C2989">
        <w:rPr>
          <w:rtl/>
          <w:lang w:bidi="syr-SY"/>
        </w:rPr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ܫ</w:t>
      </w:r>
      <w:r w:rsidRPr="003C2989">
        <w:rPr>
          <w:rtl/>
          <w:lang w:bidi="syr-SY"/>
        </w:rPr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ܝ</w:t>
      </w:r>
      <w:r w:rsidRPr="003C2989">
        <w:rPr>
          <w:rtl/>
          <w:lang w:bidi="syr-SY"/>
        </w:rPr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ܚ</w:t>
      </w:r>
      <w:r w:rsidRPr="003C2989">
        <w:rPr>
          <w:rtl/>
          <w:lang w:bidi="syr-SY"/>
        </w:rPr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ܝ</w:t>
      </w:r>
      <w:r w:rsidRPr="003C2989">
        <w:rPr>
          <w:rtl/>
          <w:lang w:bidi="syr-SY"/>
        </w:rPr>
        <w:t xml:space="preserve"> </w:t>
      </w:r>
      <w:r w:rsidRPr="003C2989">
        <w:rPr>
          <w:rFonts w:ascii="Segoe UI Historic" w:hAnsi="Segoe UI Historic" w:cs="Segoe UI Historic" w:hint="cs"/>
          <w:rtl/>
          <w:lang w:bidi="syr-SY"/>
        </w:rPr>
        <w:t>ܐ</w:t>
      </w:r>
      <w:r w:rsidRPr="003C2989">
        <w:rPr>
          <w:rtl/>
          <w:lang w:bidi="syr-SY"/>
        </w:rPr>
        <w:t xml:space="preserve">, </w:t>
      </w:r>
      <w:proofErr w:type="gramStart"/>
      <w:r w:rsidRPr="003C2989">
        <w:t>т</w:t>
      </w:r>
      <w:proofErr w:type="gramEnd"/>
      <w:r w:rsidRPr="003C2989">
        <w:t xml:space="preserve">ур. </w:t>
      </w:r>
      <w:r w:rsidRPr="003C2989">
        <w:rPr>
          <w:lang w:val="en-US"/>
        </w:rPr>
        <w:t>S</w:t>
      </w:r>
      <w:r w:rsidRPr="003C2989">
        <w:t>ü</w:t>
      </w:r>
      <w:r w:rsidRPr="003C2989">
        <w:rPr>
          <w:lang w:val="en-US"/>
        </w:rPr>
        <w:t>ryani</w:t>
      </w:r>
      <w:r w:rsidRPr="003C2989">
        <w:t xml:space="preserve"> </w:t>
      </w:r>
      <w:r w:rsidRPr="003C2989">
        <w:rPr>
          <w:lang w:val="en-US"/>
        </w:rPr>
        <w:t>Katliam</w:t>
      </w:r>
      <w:r w:rsidRPr="003C2989">
        <w:t xml:space="preserve">ı — «сирійська різанина») — планомірне масове знищення ассирійців владою Османської імперії під час Першої світової війни. Спочатку було </w:t>
      </w:r>
      <w:proofErr w:type="gramStart"/>
      <w:r w:rsidRPr="003C2989">
        <w:t>п</w:t>
      </w:r>
      <w:proofErr w:type="gramEnd"/>
      <w:r w:rsidRPr="003C2989">
        <w:t>іддано масовому арешту та знищено чоловіче населення, здатне чинити опір, у тому числі покликані в османську армію ассирійці. За цим послідували арешти політичної та культурної еліти ассирійців.</w:t>
      </w:r>
    </w:p>
    <w:p w:rsidR="003C2989" w:rsidRPr="003C2989" w:rsidRDefault="003C2989" w:rsidP="003C2989">
      <w:pPr>
        <w:spacing w:after="0"/>
      </w:pPr>
      <w:proofErr w:type="gramStart"/>
      <w:r w:rsidRPr="003C2989">
        <w:t>П</w:t>
      </w:r>
      <w:proofErr w:type="gramEnd"/>
      <w:r w:rsidRPr="003C2989">
        <w:t>ісля цього почалася депортація до пустелі Месопотамії жінок, старих та дітей, які по дорозі піддавалися насильству та винищенню.</w:t>
      </w:r>
    </w:p>
    <w:p w:rsidR="003C2989" w:rsidRPr="003C2989" w:rsidRDefault="003C2989" w:rsidP="003C2989">
      <w:pPr>
        <w:spacing w:after="0"/>
      </w:pPr>
      <w:r w:rsidRPr="003C2989">
        <w:t>Османська влада заявляла, що причиною насильницького виселення була зрадницька поведінка ассирійців, що допомагали російській армії.</w:t>
      </w:r>
    </w:p>
    <w:p w:rsidR="003C2989" w:rsidRDefault="003C2989" w:rsidP="003C2989">
      <w:pPr>
        <w:spacing w:after="0"/>
        <w:rPr>
          <w:lang w:val="en-US"/>
        </w:rPr>
      </w:pPr>
      <w:proofErr w:type="gramStart"/>
      <w:r w:rsidRPr="003C2989">
        <w:t>Р</w:t>
      </w:r>
      <w:proofErr w:type="gramEnd"/>
      <w:r w:rsidRPr="003C2989">
        <w:t>ізними джерелами кількість загиблих оцінюється в 500 000–750 000 осіб</w:t>
      </w:r>
    </w:p>
    <w:p w:rsidR="003C2989" w:rsidRPr="003C2989" w:rsidRDefault="003C2989" w:rsidP="003C2989">
      <w:pPr>
        <w:spacing w:after="0"/>
        <w:rPr>
          <w:lang w:val="en-US"/>
        </w:rPr>
      </w:pPr>
      <w:proofErr w:type="gramStart"/>
      <w:r w:rsidRPr="003C2989">
        <w:t>Геноцид</w:t>
      </w:r>
      <w:r w:rsidRPr="003C2989">
        <w:rPr>
          <w:lang w:val="en-US"/>
        </w:rPr>
        <w:t xml:space="preserve"> </w:t>
      </w:r>
      <w:r w:rsidRPr="003C2989">
        <w:t>вірмен</w:t>
      </w:r>
      <w:r w:rsidRPr="003C2989">
        <w:rPr>
          <w:lang w:val="en-US"/>
        </w:rPr>
        <w:t xml:space="preserve"> (</w:t>
      </w:r>
      <w:r w:rsidRPr="003C2989">
        <w:t>вірм</w:t>
      </w:r>
      <w:r w:rsidRPr="003C2989">
        <w:rPr>
          <w:lang w:val="en-US"/>
        </w:rPr>
        <w:t xml:space="preserve">. </w:t>
      </w:r>
      <w:r w:rsidRPr="003C2989">
        <w:rPr>
          <w:rFonts w:ascii="Arial" w:hAnsi="Arial" w:cs="Arial"/>
          <w:lang w:val="hy-AM"/>
        </w:rPr>
        <w:t>Հայոց</w:t>
      </w:r>
      <w:r w:rsidRPr="003C2989">
        <w:rPr>
          <w:lang w:val="hy-AM"/>
        </w:rPr>
        <w:t xml:space="preserve"> </w:t>
      </w:r>
      <w:r w:rsidRPr="003C2989">
        <w:rPr>
          <w:rFonts w:ascii="Arial" w:hAnsi="Arial" w:cs="Arial"/>
          <w:lang w:val="hy-AM"/>
        </w:rPr>
        <w:t>Ցեղասպանություն</w:t>
      </w:r>
      <w:r w:rsidRPr="003C2989">
        <w:rPr>
          <w:lang w:val="hy-AM"/>
        </w:rPr>
        <w:t xml:space="preserve">, </w:t>
      </w:r>
      <w:r w:rsidRPr="003C2989">
        <w:t>тур</w:t>
      </w:r>
      <w:r w:rsidRPr="003C2989">
        <w:rPr>
          <w:lang w:val="en-US"/>
        </w:rPr>
        <w:t>.</w:t>
      </w:r>
      <w:proofErr w:type="gramEnd"/>
      <w:r w:rsidRPr="003C2989">
        <w:rPr>
          <w:lang w:val="en-US"/>
        </w:rPr>
        <w:t xml:space="preserve"> Ermeni Kırımı; </w:t>
      </w:r>
      <w:r w:rsidRPr="003C2989">
        <w:t>частіше</w:t>
      </w:r>
      <w:r w:rsidRPr="003C2989">
        <w:rPr>
          <w:lang w:val="en-US"/>
        </w:rPr>
        <w:t xml:space="preserve"> </w:t>
      </w:r>
      <w:r w:rsidRPr="003C2989">
        <w:t>використовується</w:t>
      </w:r>
      <w:r w:rsidRPr="003C2989">
        <w:rPr>
          <w:lang w:val="en-US"/>
        </w:rPr>
        <w:t xml:space="preserve"> </w:t>
      </w:r>
      <w:r w:rsidRPr="003C2989">
        <w:t>вираз</w:t>
      </w:r>
      <w:r w:rsidRPr="003C2989">
        <w:rPr>
          <w:lang w:val="en-US"/>
        </w:rPr>
        <w:t xml:space="preserve"> [</w:t>
      </w:r>
      <w:r w:rsidRPr="003C2989">
        <w:t>МФА</w:t>
      </w:r>
      <w:r w:rsidRPr="003C2989">
        <w:rPr>
          <w:lang w:val="en-US"/>
        </w:rPr>
        <w:t xml:space="preserve">: [mɛts jɛˈʁɛrn]] — </w:t>
      </w:r>
      <w:r w:rsidRPr="003C2989">
        <w:t>Великий</w:t>
      </w:r>
      <w:r w:rsidRPr="003C2989">
        <w:rPr>
          <w:lang w:val="en-US"/>
        </w:rPr>
        <w:t xml:space="preserve"> </w:t>
      </w:r>
      <w:r w:rsidRPr="003C2989">
        <w:t>Злочин</w:t>
      </w:r>
      <w:r w:rsidRPr="003C2989">
        <w:rPr>
          <w:lang w:val="en-US"/>
        </w:rPr>
        <w:t xml:space="preserve">) — </w:t>
      </w:r>
      <w:r w:rsidRPr="003C2989">
        <w:t>геноцид</w:t>
      </w:r>
      <w:r w:rsidRPr="003C2989">
        <w:rPr>
          <w:lang w:val="en-US"/>
        </w:rPr>
        <w:t xml:space="preserve">, </w:t>
      </w:r>
      <w:r w:rsidRPr="003C2989">
        <w:t>організований</w:t>
      </w:r>
      <w:r w:rsidRPr="003C2989">
        <w:rPr>
          <w:lang w:val="en-US"/>
        </w:rPr>
        <w:t xml:space="preserve"> </w:t>
      </w:r>
      <w:r w:rsidRPr="003C2989">
        <w:t>і</w:t>
      </w:r>
      <w:r w:rsidRPr="003C2989">
        <w:rPr>
          <w:lang w:val="en-US"/>
        </w:rPr>
        <w:t xml:space="preserve"> </w:t>
      </w:r>
      <w:r w:rsidRPr="003C2989">
        <w:t>здійснений</w:t>
      </w:r>
      <w:r w:rsidRPr="003C2989">
        <w:rPr>
          <w:lang w:val="en-US"/>
        </w:rPr>
        <w:t xml:space="preserve"> </w:t>
      </w:r>
      <w:r w:rsidRPr="003C2989">
        <w:t>в</w:t>
      </w:r>
      <w:r w:rsidRPr="003C2989">
        <w:rPr>
          <w:lang w:val="en-US"/>
        </w:rPr>
        <w:t xml:space="preserve"> 1915 </w:t>
      </w:r>
      <w:r w:rsidRPr="003C2989">
        <w:t>році</w:t>
      </w:r>
      <w:r w:rsidRPr="003C2989">
        <w:rPr>
          <w:lang w:val="en-US"/>
        </w:rPr>
        <w:t xml:space="preserve"> (</w:t>
      </w:r>
      <w:r w:rsidRPr="003C2989">
        <w:t>на</w:t>
      </w:r>
      <w:r w:rsidRPr="003C2989">
        <w:rPr>
          <w:lang w:val="en-US"/>
        </w:rPr>
        <w:t xml:space="preserve"> </w:t>
      </w:r>
      <w:r w:rsidRPr="003C2989">
        <w:t>думку</w:t>
      </w:r>
      <w:r w:rsidRPr="003C2989">
        <w:rPr>
          <w:lang w:val="en-US"/>
        </w:rPr>
        <w:t xml:space="preserve"> </w:t>
      </w:r>
      <w:r w:rsidRPr="003C2989">
        <w:t>деяких</w:t>
      </w:r>
      <w:r w:rsidRPr="003C2989">
        <w:rPr>
          <w:lang w:val="en-US"/>
        </w:rPr>
        <w:t xml:space="preserve"> </w:t>
      </w:r>
      <w:r w:rsidRPr="003C2989">
        <w:t>джерел</w:t>
      </w:r>
      <w:r w:rsidRPr="003C2989">
        <w:rPr>
          <w:lang w:val="en-US"/>
        </w:rPr>
        <w:t xml:space="preserve"> </w:t>
      </w:r>
      <w:r w:rsidRPr="003C2989">
        <w:t>продовжувався</w:t>
      </w:r>
      <w:r w:rsidRPr="003C2989">
        <w:rPr>
          <w:lang w:val="en-US"/>
        </w:rPr>
        <w:t xml:space="preserve"> </w:t>
      </w:r>
      <w:r w:rsidRPr="003C2989">
        <w:t>до</w:t>
      </w:r>
      <w:r w:rsidRPr="003C2989">
        <w:rPr>
          <w:lang w:val="en-US"/>
        </w:rPr>
        <w:t xml:space="preserve"> 1923 </w:t>
      </w:r>
      <w:r w:rsidRPr="003C2989">
        <w:t>року</w:t>
      </w:r>
      <w:r w:rsidRPr="003C2989">
        <w:rPr>
          <w:lang w:val="en-US"/>
        </w:rPr>
        <w:t xml:space="preserve">) </w:t>
      </w:r>
      <w:r w:rsidRPr="003C2989">
        <w:t>на</w:t>
      </w:r>
      <w:r w:rsidRPr="003C2989">
        <w:rPr>
          <w:lang w:val="en-US"/>
        </w:rPr>
        <w:t xml:space="preserve"> </w:t>
      </w:r>
      <w:r w:rsidRPr="003C2989">
        <w:t>територіях</w:t>
      </w:r>
      <w:r w:rsidRPr="003C2989">
        <w:rPr>
          <w:lang w:val="en-US"/>
        </w:rPr>
        <w:t xml:space="preserve">, </w:t>
      </w:r>
      <w:r w:rsidRPr="003C2989">
        <w:t>контрольованих</w:t>
      </w:r>
      <w:r w:rsidRPr="003C2989">
        <w:rPr>
          <w:lang w:val="en-US"/>
        </w:rPr>
        <w:t xml:space="preserve"> </w:t>
      </w:r>
      <w:r w:rsidRPr="003C2989">
        <w:t>владою</w:t>
      </w:r>
      <w:r w:rsidRPr="003C2989">
        <w:rPr>
          <w:lang w:val="en-US"/>
        </w:rPr>
        <w:t xml:space="preserve"> </w:t>
      </w:r>
      <w:r w:rsidRPr="003C2989">
        <w:t>Османської</w:t>
      </w:r>
      <w:r w:rsidRPr="003C2989">
        <w:rPr>
          <w:lang w:val="en-US"/>
        </w:rPr>
        <w:t xml:space="preserve"> </w:t>
      </w:r>
      <w:r w:rsidRPr="003C2989">
        <w:t>імперії</w:t>
      </w:r>
      <w:r w:rsidRPr="003C2989">
        <w:rPr>
          <w:lang w:val="en-US"/>
        </w:rPr>
        <w:t xml:space="preserve">. </w:t>
      </w:r>
      <w:r w:rsidRPr="003C2989">
        <w:t>Геноцид</w:t>
      </w:r>
      <w:r w:rsidRPr="003C2989">
        <w:rPr>
          <w:lang w:val="en-US"/>
        </w:rPr>
        <w:t xml:space="preserve"> </w:t>
      </w:r>
      <w:r w:rsidRPr="003C2989">
        <w:t>здійснювався</w:t>
      </w:r>
      <w:r w:rsidRPr="003C2989">
        <w:rPr>
          <w:lang w:val="en-US"/>
        </w:rPr>
        <w:t xml:space="preserve"> </w:t>
      </w:r>
      <w:r w:rsidRPr="003C2989">
        <w:t>шляхом</w:t>
      </w:r>
      <w:r w:rsidRPr="003C2989">
        <w:rPr>
          <w:lang w:val="en-US"/>
        </w:rPr>
        <w:t xml:space="preserve"> </w:t>
      </w:r>
      <w:r w:rsidRPr="003C2989">
        <w:t>фізичного</w:t>
      </w:r>
      <w:r w:rsidRPr="003C2989">
        <w:rPr>
          <w:lang w:val="en-US"/>
        </w:rPr>
        <w:t xml:space="preserve"> </w:t>
      </w:r>
      <w:r w:rsidRPr="003C2989">
        <w:t>знищення</w:t>
      </w:r>
      <w:r w:rsidRPr="003C2989">
        <w:rPr>
          <w:lang w:val="en-US"/>
        </w:rPr>
        <w:t xml:space="preserve"> </w:t>
      </w:r>
      <w:r w:rsidRPr="003C2989">
        <w:t>та</w:t>
      </w:r>
      <w:r w:rsidRPr="003C2989">
        <w:rPr>
          <w:lang w:val="en-US"/>
        </w:rPr>
        <w:t xml:space="preserve"> </w:t>
      </w:r>
      <w:r w:rsidRPr="003C2989">
        <w:t>депортації</w:t>
      </w:r>
      <w:r w:rsidRPr="003C2989">
        <w:rPr>
          <w:lang w:val="en-US"/>
        </w:rPr>
        <w:t xml:space="preserve">, </w:t>
      </w:r>
      <w:r w:rsidRPr="003C2989">
        <w:t>включаючи</w:t>
      </w:r>
      <w:r w:rsidRPr="003C2989">
        <w:rPr>
          <w:lang w:val="en-US"/>
        </w:rPr>
        <w:t xml:space="preserve"> </w:t>
      </w:r>
      <w:r w:rsidRPr="003C2989">
        <w:t>переміщення</w:t>
      </w:r>
      <w:r w:rsidRPr="003C2989">
        <w:rPr>
          <w:lang w:val="en-US"/>
        </w:rPr>
        <w:t xml:space="preserve"> </w:t>
      </w:r>
      <w:r w:rsidRPr="003C2989">
        <w:t>цивільного</w:t>
      </w:r>
      <w:r w:rsidRPr="003C2989">
        <w:rPr>
          <w:lang w:val="en-US"/>
        </w:rPr>
        <w:t xml:space="preserve"> </w:t>
      </w:r>
      <w:r w:rsidRPr="003C2989">
        <w:t>населення</w:t>
      </w:r>
      <w:r w:rsidRPr="003C2989">
        <w:rPr>
          <w:lang w:val="en-US"/>
        </w:rPr>
        <w:t xml:space="preserve"> </w:t>
      </w:r>
      <w:r w:rsidRPr="003C2989">
        <w:t>в</w:t>
      </w:r>
      <w:r w:rsidRPr="003C2989">
        <w:rPr>
          <w:lang w:val="en-US"/>
        </w:rPr>
        <w:t xml:space="preserve"> </w:t>
      </w:r>
      <w:r w:rsidRPr="003C2989">
        <w:t>умовах</w:t>
      </w:r>
      <w:r w:rsidRPr="003C2989">
        <w:rPr>
          <w:lang w:val="en-US"/>
        </w:rPr>
        <w:t xml:space="preserve">, </w:t>
      </w:r>
      <w:r w:rsidRPr="003C2989">
        <w:t>що</w:t>
      </w:r>
      <w:r w:rsidRPr="003C2989">
        <w:rPr>
          <w:lang w:val="en-US"/>
        </w:rPr>
        <w:t xml:space="preserve"> </w:t>
      </w:r>
      <w:r w:rsidRPr="003C2989">
        <w:t>призводять</w:t>
      </w:r>
      <w:r w:rsidRPr="003C2989">
        <w:rPr>
          <w:lang w:val="en-US"/>
        </w:rPr>
        <w:t xml:space="preserve"> </w:t>
      </w:r>
      <w:r w:rsidRPr="003C2989">
        <w:t>до</w:t>
      </w:r>
      <w:r w:rsidRPr="003C2989">
        <w:rPr>
          <w:lang w:val="en-US"/>
        </w:rPr>
        <w:t xml:space="preserve"> </w:t>
      </w:r>
      <w:r w:rsidRPr="003C2989">
        <w:t>неминучої</w:t>
      </w:r>
      <w:r w:rsidRPr="003C2989">
        <w:rPr>
          <w:lang w:val="en-US"/>
        </w:rPr>
        <w:t xml:space="preserve"> </w:t>
      </w:r>
      <w:r w:rsidRPr="003C2989">
        <w:t>смерті</w:t>
      </w:r>
      <w:r w:rsidRPr="003C2989">
        <w:rPr>
          <w:lang w:val="en-US"/>
        </w:rPr>
        <w:t>.</w:t>
      </w:r>
    </w:p>
    <w:p w:rsidR="003C2989" w:rsidRPr="003C2989" w:rsidRDefault="003C2989" w:rsidP="003C2989">
      <w:pPr>
        <w:spacing w:after="0"/>
      </w:pPr>
      <w:r w:rsidRPr="003C2989">
        <w:t>Геноцид</w:t>
      </w:r>
      <w:r w:rsidRPr="003C2989">
        <w:rPr>
          <w:lang w:val="en-US"/>
        </w:rPr>
        <w:t xml:space="preserve"> </w:t>
      </w:r>
      <w:r w:rsidRPr="003C2989">
        <w:t>вірмен</w:t>
      </w:r>
      <w:r w:rsidRPr="003C2989">
        <w:rPr>
          <w:lang w:val="en-US"/>
        </w:rPr>
        <w:t xml:space="preserve"> </w:t>
      </w:r>
      <w:r w:rsidRPr="003C2989">
        <w:t>проводився</w:t>
      </w:r>
      <w:r w:rsidRPr="003C2989">
        <w:rPr>
          <w:lang w:val="en-US"/>
        </w:rPr>
        <w:t xml:space="preserve"> </w:t>
      </w:r>
      <w:r w:rsidRPr="003C2989">
        <w:t>у</w:t>
      </w:r>
      <w:r w:rsidRPr="003C2989">
        <w:rPr>
          <w:lang w:val="en-US"/>
        </w:rPr>
        <w:t xml:space="preserve"> </w:t>
      </w:r>
      <w:r w:rsidRPr="003C2989">
        <w:t>кілька</w:t>
      </w:r>
      <w:r w:rsidRPr="003C2989">
        <w:rPr>
          <w:lang w:val="en-US"/>
        </w:rPr>
        <w:t xml:space="preserve"> </w:t>
      </w:r>
      <w:r w:rsidRPr="003C2989">
        <w:t>стадій</w:t>
      </w:r>
      <w:r w:rsidRPr="003C2989">
        <w:rPr>
          <w:lang w:val="en-US"/>
        </w:rPr>
        <w:t xml:space="preserve">: </w:t>
      </w:r>
      <w:r w:rsidRPr="003C2989">
        <w:t>роззброєння</w:t>
      </w:r>
      <w:r w:rsidRPr="003C2989">
        <w:rPr>
          <w:lang w:val="en-US"/>
        </w:rPr>
        <w:t xml:space="preserve"> </w:t>
      </w:r>
      <w:r w:rsidRPr="003C2989">
        <w:t>вірменських</w:t>
      </w:r>
      <w:r w:rsidRPr="003C2989">
        <w:rPr>
          <w:lang w:val="en-US"/>
        </w:rPr>
        <w:t xml:space="preserve"> </w:t>
      </w:r>
      <w:r w:rsidRPr="003C2989">
        <w:t>солдатів</w:t>
      </w:r>
      <w:r w:rsidRPr="003C2989">
        <w:rPr>
          <w:lang w:val="en-US"/>
        </w:rPr>
        <w:t xml:space="preserve">, </w:t>
      </w:r>
      <w:r w:rsidRPr="003C2989">
        <w:t>вибіркова</w:t>
      </w:r>
      <w:r w:rsidRPr="003C2989">
        <w:rPr>
          <w:lang w:val="en-US"/>
        </w:rPr>
        <w:t xml:space="preserve"> </w:t>
      </w:r>
      <w:r w:rsidRPr="003C2989">
        <w:t>депортація</w:t>
      </w:r>
      <w:r w:rsidRPr="003C2989">
        <w:rPr>
          <w:lang w:val="en-US"/>
        </w:rPr>
        <w:t xml:space="preserve"> </w:t>
      </w:r>
      <w:r w:rsidRPr="003C2989">
        <w:t>вірмен</w:t>
      </w:r>
      <w:r w:rsidRPr="003C2989">
        <w:rPr>
          <w:lang w:val="en-US"/>
        </w:rPr>
        <w:t xml:space="preserve"> </w:t>
      </w:r>
      <w:r w:rsidRPr="003C2989">
        <w:t>з</w:t>
      </w:r>
      <w:r w:rsidRPr="003C2989">
        <w:rPr>
          <w:lang w:val="en-US"/>
        </w:rPr>
        <w:t xml:space="preserve"> </w:t>
      </w:r>
      <w:r w:rsidRPr="003C2989">
        <w:t>прикордонних</w:t>
      </w:r>
      <w:r w:rsidRPr="003C2989">
        <w:rPr>
          <w:lang w:val="en-US"/>
        </w:rPr>
        <w:t xml:space="preserve"> </w:t>
      </w:r>
      <w:r w:rsidRPr="003C2989">
        <w:t>районі</w:t>
      </w:r>
      <w:proofErr w:type="gramStart"/>
      <w:r w:rsidRPr="003C2989">
        <w:t>в</w:t>
      </w:r>
      <w:proofErr w:type="gramEnd"/>
      <w:r w:rsidRPr="003C2989">
        <w:rPr>
          <w:lang w:val="en-US"/>
        </w:rPr>
        <w:t xml:space="preserve">, </w:t>
      </w:r>
      <w:r w:rsidRPr="003C2989">
        <w:t>прийняття</w:t>
      </w:r>
      <w:r w:rsidRPr="003C2989">
        <w:rPr>
          <w:lang w:val="en-US"/>
        </w:rPr>
        <w:t xml:space="preserve"> </w:t>
      </w:r>
      <w:r w:rsidRPr="003C2989">
        <w:t>закону</w:t>
      </w:r>
      <w:r w:rsidRPr="003C2989">
        <w:rPr>
          <w:lang w:val="en-US"/>
        </w:rPr>
        <w:t xml:space="preserve"> </w:t>
      </w:r>
      <w:r w:rsidRPr="003C2989">
        <w:t>про</w:t>
      </w:r>
      <w:r w:rsidRPr="003C2989">
        <w:rPr>
          <w:lang w:val="en-US"/>
        </w:rPr>
        <w:t xml:space="preserve"> </w:t>
      </w:r>
      <w:r w:rsidRPr="003C2989">
        <w:t>висилку</w:t>
      </w:r>
      <w:r w:rsidRPr="003C2989">
        <w:rPr>
          <w:lang w:val="en-US"/>
        </w:rPr>
        <w:t xml:space="preserve">, </w:t>
      </w:r>
      <w:r w:rsidRPr="003C2989">
        <w:t>масова</w:t>
      </w:r>
      <w:r w:rsidRPr="003C2989">
        <w:rPr>
          <w:lang w:val="en-US"/>
        </w:rPr>
        <w:t xml:space="preserve"> </w:t>
      </w:r>
      <w:r w:rsidRPr="003C2989">
        <w:t>депортація</w:t>
      </w:r>
      <w:r w:rsidRPr="003C2989">
        <w:rPr>
          <w:lang w:val="en-US"/>
        </w:rPr>
        <w:t xml:space="preserve"> </w:t>
      </w:r>
      <w:r w:rsidRPr="003C2989">
        <w:t>і</w:t>
      </w:r>
      <w:r w:rsidRPr="003C2989">
        <w:rPr>
          <w:lang w:val="en-US"/>
        </w:rPr>
        <w:t xml:space="preserve"> </w:t>
      </w:r>
      <w:r w:rsidRPr="003C2989">
        <w:t>вбивства</w:t>
      </w:r>
      <w:r w:rsidRPr="003C2989">
        <w:rPr>
          <w:lang w:val="en-US"/>
        </w:rPr>
        <w:t xml:space="preserve"> </w:t>
      </w:r>
      <w:r w:rsidRPr="003C2989">
        <w:t>вірмен</w:t>
      </w:r>
      <w:r w:rsidRPr="003C2989">
        <w:rPr>
          <w:lang w:val="en-US"/>
        </w:rPr>
        <w:t xml:space="preserve">. </w:t>
      </w:r>
      <w:r w:rsidRPr="003C2989">
        <w:t xml:space="preserve">Деякі історики включають в нього вбивства 1890-х років, </w:t>
      </w:r>
      <w:proofErr w:type="gramStart"/>
      <w:r w:rsidRPr="003C2989">
        <w:t>р</w:t>
      </w:r>
      <w:proofErr w:type="gramEnd"/>
      <w:r w:rsidRPr="003C2989">
        <w:t>ізанину в Смирні й дії османських військ у Закавказзі в 1918 році.</w:t>
      </w:r>
    </w:p>
    <w:p w:rsidR="003C2989" w:rsidRPr="003C2989" w:rsidRDefault="003C2989" w:rsidP="003C2989">
      <w:pPr>
        <w:spacing w:after="0"/>
      </w:pPr>
      <w:r w:rsidRPr="003C2989">
        <w:t xml:space="preserve">Геноцид понтійських греків (грец. </w:t>
      </w:r>
      <w:r w:rsidRPr="003C2989">
        <w:rPr>
          <w:lang w:val="el-GR"/>
        </w:rPr>
        <w:t xml:space="preserve">Γενοκτονία των Ελλήνων του Πόντου) — </w:t>
      </w:r>
      <w:r w:rsidRPr="003C2989">
        <w:t>геноцид, що здійснювався молодотурками впродовж 1914—1923 років проти греків історичного Понту — понтійських грекі</w:t>
      </w:r>
      <w:proofErr w:type="gramStart"/>
      <w:r w:rsidRPr="003C2989">
        <w:t>в</w:t>
      </w:r>
      <w:proofErr w:type="gramEnd"/>
      <w:r w:rsidRPr="003C2989">
        <w:t>.</w:t>
      </w:r>
    </w:p>
    <w:p w:rsidR="003C2989" w:rsidRPr="003C2989" w:rsidRDefault="003C2989" w:rsidP="003C2989">
      <w:pPr>
        <w:spacing w:after="0"/>
      </w:pPr>
      <w:r w:rsidRPr="003C2989">
        <w:t xml:space="preserve">У липні 1914 року Османська імперія на боці Німецької імперії вступила в Першу </w:t>
      </w:r>
      <w:proofErr w:type="gramStart"/>
      <w:r w:rsidRPr="003C2989">
        <w:t>св</w:t>
      </w:r>
      <w:proofErr w:type="gramEnd"/>
      <w:r w:rsidRPr="003C2989">
        <w:t xml:space="preserve">ітову війну, оголосивши загальну мобілізацію. Османська влада вважала понтійських греків «неблагонадійними», тому почала </w:t>
      </w:r>
      <w:r w:rsidRPr="003C2989">
        <w:lastRenderedPageBreak/>
        <w:t xml:space="preserve">виселення греків зі Східної Анатолії вглиб держави, а чоловіки </w:t>
      </w:r>
      <w:proofErr w:type="gramStart"/>
      <w:r w:rsidRPr="003C2989">
        <w:t>у</w:t>
      </w:r>
      <w:proofErr w:type="gramEnd"/>
      <w:r w:rsidRPr="003C2989">
        <w:t xml:space="preserve"> віці від 20 до 45 років направлялись у робочі батальйони, які насправді були таборами смерті</w:t>
      </w:r>
    </w:p>
    <w:p w:rsidR="003C2989" w:rsidRPr="003C2989" w:rsidRDefault="003C2989" w:rsidP="003C2989">
      <w:pPr>
        <w:spacing w:after="0"/>
      </w:pPr>
      <w:r w:rsidRPr="003C2989">
        <w:t xml:space="preserve">Найжорстокіші </w:t>
      </w:r>
      <w:proofErr w:type="gramStart"/>
      <w:r w:rsidRPr="003C2989">
        <w:t>заходи</w:t>
      </w:r>
      <w:proofErr w:type="gramEnd"/>
      <w:r w:rsidRPr="003C2989">
        <w:t xml:space="preserve"> почали впроваджуватися після зайняття 5 квітня 1916 року російською армією Трапезунду. У грудні 1916 року османські генерали Енвер і Талаат розробили план, за яким фізичному знищенню </w:t>
      </w:r>
      <w:proofErr w:type="gramStart"/>
      <w:r w:rsidRPr="003C2989">
        <w:t>п</w:t>
      </w:r>
      <w:proofErr w:type="gramEnd"/>
      <w:r w:rsidRPr="003C2989">
        <w:t>ідлягали всі чоловіки віком від 16 до 60 років у містах, решта чоловіків, жінки та діти з сіл підлягали вигнанню у внутрішні області Анатолії із застосуванням фізичного знищення. Через два тижні план здійснено в районах мі</w:t>
      </w:r>
      <w:proofErr w:type="gramStart"/>
      <w:r w:rsidRPr="003C2989">
        <w:t>ст</w:t>
      </w:r>
      <w:proofErr w:type="gramEnd"/>
      <w:r w:rsidRPr="003C2989">
        <w:t xml:space="preserve"> Самсун і Пафра. За </w:t>
      </w:r>
      <w:proofErr w:type="gramStart"/>
      <w:r w:rsidRPr="003C2989">
        <w:t>св</w:t>
      </w:r>
      <w:proofErr w:type="gramEnd"/>
      <w:r w:rsidRPr="003C2989">
        <w:t xml:space="preserve">ідченнямм німецького консула Аміса Кухова, в 1916 році практично все населення Синопу й прибережних територій було виселене. До </w:t>
      </w:r>
      <w:proofErr w:type="gramStart"/>
      <w:r w:rsidRPr="003C2989">
        <w:t>лютого</w:t>
      </w:r>
      <w:proofErr w:type="gramEnd"/>
      <w:r w:rsidRPr="003C2989">
        <w:t xml:space="preserve"> 1917 року загинуло більше чверті переміщуваного населення, інші доведені до крайнього зубожіння. Так, за османського градоначальника Керасунда з 14 тисяч греків у мі</w:t>
      </w:r>
      <w:proofErr w:type="gramStart"/>
      <w:r w:rsidRPr="003C2989">
        <w:t>ст</w:t>
      </w:r>
      <w:proofErr w:type="gramEnd"/>
      <w:r w:rsidRPr="003C2989">
        <w:t>і вижили тільки 4 тисячі.</w:t>
      </w:r>
    </w:p>
    <w:p w:rsidR="003C2989" w:rsidRPr="003C2989" w:rsidRDefault="003C2989" w:rsidP="003C2989">
      <w:pPr>
        <w:spacing w:after="0"/>
      </w:pPr>
      <w:r w:rsidRPr="003C2989">
        <w:t xml:space="preserve">Трапезунд уникнув такої долі тільки тому, що був зайнятий російською армією. Коли ж вона залишила місто (у лютому 1918 року), близько половини понтійців покинула його слідом за відступаючою армією та </w:t>
      </w:r>
      <w:proofErr w:type="gramStart"/>
      <w:r w:rsidRPr="003C2989">
        <w:t>п</w:t>
      </w:r>
      <w:proofErr w:type="gramEnd"/>
      <w:r w:rsidRPr="003C2989">
        <w:t>ізніше осіла в районі Кавказу та на чорноморському узбережжі, на території сучасної Грузії.</w:t>
      </w:r>
    </w:p>
    <w:p w:rsidR="003C2989" w:rsidRPr="003C2989" w:rsidRDefault="003C2989" w:rsidP="003C2989">
      <w:pPr>
        <w:spacing w:after="0"/>
      </w:pPr>
      <w:r w:rsidRPr="003C2989">
        <w:t>Голодомо́</w:t>
      </w:r>
      <w:proofErr w:type="gramStart"/>
      <w:r w:rsidRPr="003C2989">
        <w:t>р</w:t>
      </w:r>
      <w:proofErr w:type="gramEnd"/>
      <w:r w:rsidRPr="003C2989">
        <w:t xml:space="preserve"> 1932—1933 років — акт геноциду українського народу, здійснений керівництвом ВКП(б) та урядом СРСР у 1932–1933 роках, шляхом організації штучного масового голоду, що призвів до багатомільйонних людських втрат у сільській місцевості на території Української СРРта Кубані, переважну більшість населення якої становили українці. Викликаний свідомими і цілеспрямованими заходами вищого керівництва Радянського Союзу й Української СРР на чолі з</w:t>
      </w:r>
      <w:proofErr w:type="gramStart"/>
      <w:r w:rsidRPr="003C2989">
        <w:t>і С</w:t>
      </w:r>
      <w:proofErr w:type="gramEnd"/>
      <w:r w:rsidRPr="003C2989">
        <w:t>таліним, розрахованими на придушення українського національно-визвольного руху і фізичного знищення частини українських селян.</w:t>
      </w:r>
    </w:p>
    <w:p w:rsidR="003C2989" w:rsidRDefault="003C2989" w:rsidP="003C2989">
      <w:pPr>
        <w:spacing w:after="0"/>
        <w:rPr>
          <w:lang w:val="en-US"/>
        </w:rPr>
      </w:pPr>
      <w:r w:rsidRPr="003C2989">
        <w:t xml:space="preserve">Спланована конфіскація врожаю зернових та усіх інших продуктів харчування у селян представниками радянської влади впродовж Голодомору 1932-33 років безпосередньо призвела до вбивства селян голодом у мільйонних масштабах, при цьому радянська влада мала значні запаси зерна в резервах та здійснювала його експорт за кордон </w:t>
      </w:r>
      <w:proofErr w:type="gramStart"/>
      <w:r w:rsidRPr="003C2989">
        <w:t>п</w:t>
      </w:r>
      <w:proofErr w:type="gramEnd"/>
      <w:r w:rsidRPr="003C2989">
        <w:t xml:space="preserve">ід час Голодомору, забороняла та блокувала виїзд голодуючих поза межі України, відмовлялася приймати допомогу для голодуючих з-за кордону. </w:t>
      </w:r>
      <w:proofErr w:type="gramStart"/>
      <w:r w:rsidRPr="003C2989">
        <w:t>Попри те, що дії представників сталінської влади, які спричинили смерть людей голодом, кваліфікувалися згідно з нормами тогочасного радянського кримінального законодавства як вбивство, причини цього масового злочину ніколи в СРСР не розслідувалися та ніхто з можновладців, причетних до злочину, не поніс покарання при тому, що навіть найвище керівництво</w:t>
      </w:r>
      <w:proofErr w:type="gramEnd"/>
      <w:r w:rsidRPr="003C2989">
        <w:t xml:space="preserve"> СРСР, включаючи</w:t>
      </w:r>
      <w:proofErr w:type="gramStart"/>
      <w:r w:rsidRPr="003C2989">
        <w:t xml:space="preserve"> С</w:t>
      </w:r>
      <w:proofErr w:type="gramEnd"/>
      <w:r w:rsidRPr="003C2989">
        <w:t>таліна, знало про факти загибелі людей від голоду.</w:t>
      </w:r>
    </w:p>
    <w:p w:rsidR="003C2989" w:rsidRPr="003C2989" w:rsidRDefault="003C2989" w:rsidP="003C2989">
      <w:pPr>
        <w:spacing w:after="0"/>
        <w:rPr>
          <w:lang w:val="vi-VN"/>
        </w:rPr>
      </w:pPr>
      <w:r w:rsidRPr="003C2989">
        <w:rPr>
          <w:lang w:val="vi-VN"/>
        </w:rPr>
        <w:t xml:space="preserve">Голоко́ст (від англ. </w:t>
      </w:r>
      <w:proofErr w:type="gramStart"/>
      <w:r w:rsidRPr="003C2989">
        <w:rPr>
          <w:lang w:val="en-US"/>
        </w:rPr>
        <w:t>the</w:t>
      </w:r>
      <w:proofErr w:type="gramEnd"/>
      <w:r w:rsidRPr="003C2989">
        <w:rPr>
          <w:lang w:val="en-US"/>
        </w:rPr>
        <w:t xml:space="preserve"> Holocaust, </w:t>
      </w:r>
      <w:r w:rsidRPr="003C2989">
        <w:rPr>
          <w:lang w:val="vi-VN"/>
        </w:rPr>
        <w:t xml:space="preserve">з дав.-гр. </w:t>
      </w:r>
      <w:r w:rsidRPr="003C2989">
        <w:rPr>
          <w:lang w:val="el-GR"/>
        </w:rPr>
        <w:t>ὁλοκαύστος — «</w:t>
      </w:r>
      <w:r w:rsidRPr="003C2989">
        <w:rPr>
          <w:lang w:val="vi-VN"/>
        </w:rPr>
        <w:t>всеспалення») — переслідування і масове знищення євреїв і циган у Німеччині під час Другої світової війни; систематичне переслідування і знищення європейських євреїв і циган нацистською Німеччиною і колабораціоністами протягом 1933 — 1945 років; геноцид єврейського народу в часи Другої світової війни, внаслідок якого загинуло до 6 мільйонів осіб. Як жертв Голокосту зазвичай сприймають також інші етнічні та соціальні спільноти, яких нацисти переслідували і знищували за приналежність до цих спільнот (цигани, гомосексуалісти, масони, безнадійно хворі тощо)[1]. Тобто, у ширшому розумінні, голокост — систематичне гоніння і знищення людей за ознакою їхньої расової, етнічної, національної приналежності, сексуальної орієнтації або генетичного типу як неповноцінних, шкідливих.</w:t>
      </w:r>
    </w:p>
    <w:p w:rsidR="003C2989" w:rsidRPr="003C2989" w:rsidRDefault="003C2989" w:rsidP="003C2989">
      <w:pPr>
        <w:spacing w:after="0"/>
        <w:rPr>
          <w:lang w:val="vi-VN"/>
        </w:rPr>
      </w:pPr>
      <w:r w:rsidRPr="003C2989">
        <w:rPr>
          <w:lang w:val="vi-VN"/>
        </w:rPr>
        <w:t>Геноцид ромів (ромською — Porajmos, Samudaripen) — геноцид, зорганізований і здійснений нацистами 1935–1945 років на теренах Німеччини, країн-союзників Третього Рейху й окупованих країн. Знищення ромів було частиною загальної політики націонал-соціалістів зі знищення євреїв, (дивись Голокост), гомосексуалів, невиліковно хворих, наркоманів, психічно хворих і політичних опонентів.</w:t>
      </w:r>
    </w:p>
    <w:p w:rsidR="003C2989" w:rsidRPr="003C2989" w:rsidRDefault="003C2989" w:rsidP="003C2989">
      <w:pPr>
        <w:spacing w:after="0"/>
      </w:pPr>
      <w:r w:rsidRPr="003C2989">
        <w:rPr>
          <w:lang w:val="vi-VN"/>
        </w:rPr>
        <w:t xml:space="preserve">Вважається, що від репресій 1935–1945 рр. загинуло від 600 тис. до 1 млн 500 тис. ромів(за іншими оцінками — від 220 до 500 тисяч ). </w:t>
      </w:r>
      <w:r w:rsidRPr="003C2989">
        <w:t xml:space="preserve">В процентному відношенні ромська етнічна група найбільше потерпіла від вбивств нацистів. Понад 90 відсотків ромського населення </w:t>
      </w:r>
      <w:proofErr w:type="gramStart"/>
      <w:r w:rsidRPr="003C2989">
        <w:t>Австр</w:t>
      </w:r>
      <w:proofErr w:type="gramEnd"/>
      <w:r w:rsidRPr="003C2989">
        <w:t>ії, Німеччини та Естонії було знищено нацистським режимом та його союзниками.</w:t>
      </w:r>
    </w:p>
    <w:p w:rsidR="003C2989" w:rsidRPr="003C2989" w:rsidRDefault="003C2989" w:rsidP="003C2989">
      <w:pPr>
        <w:spacing w:after="0"/>
      </w:pPr>
      <w:proofErr w:type="gramStart"/>
      <w:r w:rsidRPr="003C2989">
        <w:t>П</w:t>
      </w:r>
      <w:proofErr w:type="gramEnd"/>
      <w:r w:rsidRPr="003C2989">
        <w:t>ід час Другої Світової війни в каральних акціях окупаційного режиму в Україні було знищено порядком 19 — 20 тис. осіб національності рома, проте немає даних про загиблих на примусових роботах, у таборах-гетто, під час рейдів УПА та радянських партизан тощо.</w:t>
      </w:r>
    </w:p>
    <w:p w:rsidR="003C2989" w:rsidRPr="003C2989" w:rsidRDefault="003C2989" w:rsidP="003C2989">
      <w:pPr>
        <w:spacing w:after="0"/>
      </w:pPr>
      <w:r w:rsidRPr="003C2989">
        <w:rPr>
          <w:lang w:val="vi-VN"/>
        </w:rPr>
        <w:lastRenderedPageBreak/>
        <w:t xml:space="preserve">Геноци́д у Руа́нді (1994) (руанда </w:t>
      </w:r>
      <w:r w:rsidRPr="003C2989">
        <w:rPr>
          <w:lang w:val="en-US"/>
        </w:rPr>
        <w:t>Itsembabwoko</w:t>
      </w:r>
      <w:r w:rsidRPr="003C2989">
        <w:t xml:space="preserve"> </w:t>
      </w:r>
      <w:r w:rsidRPr="003C2989">
        <w:rPr>
          <w:lang w:val="en-US"/>
        </w:rPr>
        <w:t>ry</w:t>
      </w:r>
      <w:r w:rsidRPr="003C2989">
        <w:t>'</w:t>
      </w:r>
      <w:r w:rsidRPr="003C2989">
        <w:rPr>
          <w:lang w:val="en-US"/>
        </w:rPr>
        <w:t>u</w:t>
      </w:r>
      <w:r w:rsidRPr="003C2989">
        <w:t xml:space="preserve"> </w:t>
      </w:r>
      <w:r w:rsidRPr="003C2989">
        <w:rPr>
          <w:lang w:val="en-US"/>
        </w:rPr>
        <w:t>Rwanda</w:t>
      </w:r>
      <w:r w:rsidRPr="003C2989">
        <w:t xml:space="preserve"> </w:t>
      </w:r>
      <w:r w:rsidRPr="003C2989">
        <w:rPr>
          <w:lang w:val="en-US"/>
        </w:rPr>
        <w:t>ry</w:t>
      </w:r>
      <w:r w:rsidRPr="003C2989">
        <w:t xml:space="preserve">'1994) — </w:t>
      </w:r>
      <w:r w:rsidRPr="003C2989">
        <w:rPr>
          <w:lang w:val="vi-VN"/>
        </w:rPr>
        <w:t>дії тимчасового уряду Руанди, що прийшов до влади в результаті військового перевороту 6-7 квітня, етнічної більшості країни — народності хуту, керованої тимчасовим урядом армії і загонів «Інтерахамве» і «Імпузамугамбі» проти представників етнічної меншини країни; — народності тутсі, і проти хуту, що дотримувалися поміркованих політичних поглядів, направлені на повне знищення і тих, і інших. Число убитих за 100 днів склало, ймовірно, близько 800 тисяч чоловік, з них приблизно 10% склали хуту.</w:t>
      </w:r>
    </w:p>
    <w:p w:rsidR="003C2989" w:rsidRPr="003C2989" w:rsidRDefault="003C2989" w:rsidP="003C2989">
      <w:pPr>
        <w:spacing w:after="0"/>
      </w:pPr>
      <w:r w:rsidRPr="003C2989">
        <w:rPr>
          <w:lang w:val="vi-VN"/>
        </w:rPr>
        <w:t>Вбивствам тутсі поклало кінець просування Руандійського патріотичного фронту.</w:t>
      </w:r>
    </w:p>
    <w:p w:rsidR="003C2989" w:rsidRPr="003C2989" w:rsidRDefault="003C2989" w:rsidP="003C2989">
      <w:pPr>
        <w:spacing w:after="0"/>
      </w:pPr>
      <w:proofErr w:type="gramStart"/>
      <w:r w:rsidRPr="003C2989">
        <w:t>Р</w:t>
      </w:r>
      <w:proofErr w:type="gramEnd"/>
      <w:r w:rsidRPr="003C2989">
        <w:t xml:space="preserve">ізанина у Сребрениці — один із найжахливіших і наймасштабніших воєнних злочинів у сучасній європейській історії, скоєний у ході Боснійської війни 13-22 липня 1995 року, що полягав у спланованому масовому вбивстві боснійськими сербами близько 8 000 боснійських мусульман чоловічої статі віком від 12 до 77 років. Різанину було вчинено в районі боснійського міста Сребрениця </w:t>
      </w:r>
      <w:proofErr w:type="gramStart"/>
      <w:r w:rsidRPr="003C2989">
        <w:t>п</w:t>
      </w:r>
      <w:proofErr w:type="gramEnd"/>
      <w:r w:rsidRPr="003C2989">
        <w:t>ісля його захоплення військом Республіки Сербської під командуванням генерала Ратка Младича за співучасті воєнізованого формування «Скорпіони» під контролем Міністерства внутрішніх справ Сербії.</w:t>
      </w:r>
    </w:p>
    <w:p w:rsidR="003C2989" w:rsidRPr="003C2989" w:rsidRDefault="003C2989" w:rsidP="003C2989">
      <w:pPr>
        <w:spacing w:after="0"/>
      </w:pPr>
      <w:r w:rsidRPr="003C2989">
        <w:t xml:space="preserve">Завершені розгляди в міжнародних судах довели, що </w:t>
      </w:r>
      <w:proofErr w:type="gramStart"/>
      <w:r w:rsidRPr="003C2989">
        <w:t>р</w:t>
      </w:r>
      <w:proofErr w:type="gramEnd"/>
      <w:r w:rsidRPr="003C2989">
        <w:t xml:space="preserve">ізанина в Серебриниці не була спонтанним явищем, а була наперед спланована і методично втілена. Гаазький трибунал для колишньої Югославії у вироках проти Радислава Кристича, Відоє Благоєвича, Драгана Йокича, Любіша Беєра, та Вуйадіна Поповича визнав </w:t>
      </w:r>
      <w:proofErr w:type="gramStart"/>
      <w:r w:rsidRPr="003C2989">
        <w:t>р</w:t>
      </w:r>
      <w:proofErr w:type="gramEnd"/>
      <w:r w:rsidRPr="003C2989">
        <w:t xml:space="preserve">ізанину в Сребрениці геноцидом. Наприкінці лютого 2007 року Міжнародний суд визнав </w:t>
      </w:r>
      <w:proofErr w:type="gramStart"/>
      <w:r w:rsidRPr="003C2989">
        <w:t>р</w:t>
      </w:r>
      <w:proofErr w:type="gramEnd"/>
      <w:r w:rsidRPr="003C2989">
        <w:t>ізанину в Сребрениці геноцидом.</w:t>
      </w:r>
    </w:p>
    <w:p w:rsidR="003C2989" w:rsidRDefault="003C2989" w:rsidP="003C2989">
      <w:pPr>
        <w:spacing w:after="0"/>
        <w:rPr>
          <w:b/>
          <w:bCs/>
          <w:lang w:val="en-US"/>
        </w:rPr>
      </w:pPr>
      <w:r w:rsidRPr="003C2989">
        <w:rPr>
          <w:b/>
          <w:bCs/>
        </w:rPr>
        <w:t>Геноцид як злочин</w:t>
      </w:r>
    </w:p>
    <w:p w:rsidR="003C2989" w:rsidRPr="003C2989" w:rsidRDefault="003C2989" w:rsidP="003C2989">
      <w:pPr>
        <w:spacing w:after="0"/>
      </w:pPr>
      <w:r w:rsidRPr="003C2989">
        <w:t>Міжнародне право</w:t>
      </w:r>
    </w:p>
    <w:p w:rsidR="003C2989" w:rsidRPr="003C2989" w:rsidRDefault="003C2989" w:rsidP="003C2989">
      <w:pPr>
        <w:spacing w:after="0"/>
      </w:pPr>
      <w:proofErr w:type="gramStart"/>
      <w:r w:rsidRPr="003C2989">
        <w:t>П</w:t>
      </w:r>
      <w:proofErr w:type="gramEnd"/>
      <w:r w:rsidRPr="003C2989">
        <w:t xml:space="preserve">ісля Голокосту, який було скоєно нацистською Німеччиною та її союзниками до і під час Другої світової війни, Лемкін успішно агітував за загальне визнання міжнародних законів, що визначають і забороняють геноцид. У 1946 році перша сесія Генеральної Асамблеї Організації Об'єднаних Націй прийняла резолюцію, яка </w:t>
      </w:r>
      <w:proofErr w:type="gramStart"/>
      <w:r w:rsidRPr="003C2989">
        <w:t>п</w:t>
      </w:r>
      <w:proofErr w:type="gramEnd"/>
      <w:r w:rsidRPr="003C2989">
        <w:t>ідтвердила, що геноцид є злочином за міжнародним правом, але не містила юридичного визначення цього злочину. У 1948 році Генеральна Асамблея ООН прийняла Конвенцію про запобігання і покарання за злочини геноциду (</w:t>
      </w:r>
      <w:r w:rsidRPr="003C2989">
        <w:rPr>
          <w:lang w:val="en-US"/>
        </w:rPr>
        <w:t>CPPCG</w:t>
      </w:r>
      <w:r w:rsidRPr="003C2989">
        <w:t>), яка визначила злочин геноциду вперше.</w:t>
      </w:r>
    </w:p>
    <w:p w:rsidR="003C2989" w:rsidRPr="003C2989" w:rsidRDefault="003C2989" w:rsidP="003C2989">
      <w:pPr>
        <w:spacing w:after="0"/>
      </w:pPr>
      <w:r w:rsidRPr="003C2989">
        <w:t>«</w:t>
      </w:r>
      <w:r w:rsidRPr="003C2989">
        <w:rPr>
          <w:lang w:val="en-US"/>
        </w:rPr>
        <w:t>CPPCG</w:t>
      </w:r>
      <w:r w:rsidRPr="003C2989">
        <w:t>» була прийнята Генеральною Асамблеєю ООН 9 грудня 1948 і вступила в силу 12 січня 1951 (резолюція 260 (</w:t>
      </w:r>
      <w:r w:rsidRPr="003C2989">
        <w:rPr>
          <w:lang w:val="en-US"/>
        </w:rPr>
        <w:t>III</w:t>
      </w:r>
      <w:r w:rsidRPr="003C2989">
        <w:t xml:space="preserve">)). Вона </w:t>
      </w:r>
      <w:proofErr w:type="gramStart"/>
      <w:r w:rsidRPr="003C2989">
        <w:t>містить</w:t>
      </w:r>
      <w:proofErr w:type="gramEnd"/>
      <w:r w:rsidRPr="003C2989">
        <w:t xml:space="preserve"> міжнародно визнане визначення геноциду, яке було включене до національного кримінального законодавства багатьох країн, і також знайшло відображення в Римському статуті Міжнародного кримінального суду.</w:t>
      </w:r>
    </w:p>
    <w:p w:rsidR="003C2989" w:rsidRPr="003C2989" w:rsidRDefault="003C2989" w:rsidP="003C2989">
      <w:pPr>
        <w:spacing w:after="0"/>
      </w:pPr>
      <w:r w:rsidRPr="003C2989">
        <w:t xml:space="preserve">Стаття </w:t>
      </w:r>
      <w:r w:rsidRPr="003C2989">
        <w:rPr>
          <w:lang w:val="en-US"/>
        </w:rPr>
        <w:t>II</w:t>
      </w:r>
      <w:r w:rsidRPr="003C2989">
        <w:t xml:space="preserve"> Конвенції визначає геноцид як:</w:t>
      </w:r>
    </w:p>
    <w:p w:rsidR="003C2989" w:rsidRPr="003C2989" w:rsidRDefault="003C2989" w:rsidP="003C2989">
      <w:pPr>
        <w:spacing w:after="0"/>
      </w:pPr>
      <w:r w:rsidRPr="003C2989">
        <w:t>...</w:t>
      </w:r>
      <w:proofErr w:type="gramStart"/>
      <w:r w:rsidRPr="003C2989">
        <w:t>будь-яку</w:t>
      </w:r>
      <w:proofErr w:type="gramEnd"/>
      <w:r w:rsidRPr="003C2989">
        <w:t xml:space="preserve"> з наступних дій, скоєних з наміром знищити,</w:t>
      </w:r>
    </w:p>
    <w:p w:rsidR="003C2989" w:rsidRPr="003C2989" w:rsidRDefault="003C2989" w:rsidP="003C2989">
      <w:pPr>
        <w:spacing w:after="0"/>
      </w:pPr>
      <w:r w:rsidRPr="003C2989">
        <w:t xml:space="preserve">повністю або частково, яку-небудь національну, етнічну, расову чи </w:t>
      </w:r>
      <w:proofErr w:type="gramStart"/>
      <w:r w:rsidRPr="003C2989">
        <w:t>рел</w:t>
      </w:r>
      <w:proofErr w:type="gramEnd"/>
      <w:r w:rsidRPr="003C2989">
        <w:t>ігійну групу як таку:</w:t>
      </w:r>
    </w:p>
    <w:p w:rsidR="003C2989" w:rsidRPr="003C2989" w:rsidRDefault="003C2989" w:rsidP="003C2989">
      <w:pPr>
        <w:spacing w:after="0"/>
      </w:pPr>
      <w:r w:rsidRPr="003C2989">
        <w:t>(А) вбивство членів такої групи;</w:t>
      </w:r>
    </w:p>
    <w:p w:rsidR="003C2989" w:rsidRPr="003C2989" w:rsidRDefault="003C2989" w:rsidP="003C2989">
      <w:pPr>
        <w:spacing w:after="0"/>
      </w:pPr>
      <w:r w:rsidRPr="003C2989">
        <w:t>(Б) заподіяння серйозних тілесних ушкоджень чи розумового розладу членам такої групи;</w:t>
      </w:r>
    </w:p>
    <w:p w:rsidR="003C2989" w:rsidRPr="003C2989" w:rsidRDefault="003C2989" w:rsidP="003C2989">
      <w:pPr>
        <w:spacing w:after="0"/>
      </w:pPr>
      <w:r w:rsidRPr="003C2989">
        <w:t>(В) навмисне створення для групи таких умов життя, які розраховані на фізичне знищення її в цілому або в частині;</w:t>
      </w:r>
    </w:p>
    <w:p w:rsidR="003C2989" w:rsidRPr="003C2989" w:rsidRDefault="003C2989" w:rsidP="003C2989">
      <w:pPr>
        <w:spacing w:after="0"/>
      </w:pPr>
      <w:r w:rsidRPr="003C2989">
        <w:t>(Г) заходи, розраховані на запобігання дітородіння в середовищі такої групи;</w:t>
      </w:r>
    </w:p>
    <w:p w:rsidR="003C2989" w:rsidRPr="003C2989" w:rsidRDefault="003C2989" w:rsidP="003C2989">
      <w:pPr>
        <w:spacing w:after="0"/>
      </w:pPr>
      <w:r w:rsidRPr="003C2989">
        <w:t>(Д) насильницька передача дітей з однієї людської групи в іншу.</w:t>
      </w:r>
    </w:p>
    <w:p w:rsidR="003C2989" w:rsidRPr="003C2989" w:rsidRDefault="003C2989" w:rsidP="003C2989">
      <w:pPr>
        <w:spacing w:after="0"/>
      </w:pPr>
      <w:r w:rsidRPr="003C2989">
        <w:t>Перший проект Конвенції включав політичні вбивства, але ці положення були вилучені через наступні заперечення з боку деяких країн, включаючи СРСР, постійного члена</w:t>
      </w:r>
      <w:proofErr w:type="gramStart"/>
      <w:r w:rsidRPr="003C2989">
        <w:t xml:space="preserve"> Р</w:t>
      </w:r>
      <w:proofErr w:type="gramEnd"/>
      <w:r w:rsidRPr="003C2989">
        <w:t>ади Безпеки, на знак політичного та дипломатичного компромісу.  СРСР стверджував, що визначення, що зазначені в Конвенції, повинні слідувати етимології терміна і, можливо, боявся більшої міжнародної уваги до власної «великої чистки»</w:t>
      </w:r>
      <w:proofErr w:type="gramStart"/>
      <w:r w:rsidRPr="003C2989">
        <w:t>.</w:t>
      </w:r>
      <w:proofErr w:type="gramEnd"/>
      <w:r w:rsidRPr="003C2989">
        <w:t xml:space="preserve"> І</w:t>
      </w:r>
      <w:proofErr w:type="gramStart"/>
      <w:r w:rsidRPr="003C2989">
        <w:t>н</w:t>
      </w:r>
      <w:proofErr w:type="gramEnd"/>
      <w:r w:rsidRPr="003C2989">
        <w:t xml:space="preserve">ші країни побоювалися, що занесення політичних груп до дефініції призведе до міжнародного втручання у внутрішню політику. Однак </w:t>
      </w:r>
      <w:proofErr w:type="gramStart"/>
      <w:r w:rsidRPr="003C2989">
        <w:t>пров</w:t>
      </w:r>
      <w:proofErr w:type="gramEnd"/>
      <w:r w:rsidRPr="003C2989">
        <w:t xml:space="preserve">ідний учений з питань геноциду </w:t>
      </w:r>
      <w:r w:rsidRPr="003C2989">
        <w:rPr>
          <w:lang w:val="en-US"/>
        </w:rPr>
        <w:t>William</w:t>
      </w:r>
      <w:r w:rsidRPr="003C2989">
        <w:t xml:space="preserve"> </w:t>
      </w:r>
      <w:r w:rsidRPr="003C2989">
        <w:rPr>
          <w:lang w:val="en-US"/>
        </w:rPr>
        <w:t>Schabas</w:t>
      </w:r>
      <w:r w:rsidRPr="003C2989">
        <w:t xml:space="preserve"> стверджує: «Ретельний розгляд не </w:t>
      </w:r>
      <w:proofErr w:type="gramStart"/>
      <w:r w:rsidRPr="003C2989">
        <w:t>п</w:t>
      </w:r>
      <w:proofErr w:type="gramEnd"/>
      <w:r w:rsidRPr="003C2989">
        <w:t xml:space="preserve">ідтверджує популярне в літературі твердження, що спротив включенню політичного геноциду була радянською махінацією. Радянські погляди поділяла низка інших держав, для яких важко встановити будь-який географічній або </w:t>
      </w:r>
      <w:proofErr w:type="gramStart"/>
      <w:r w:rsidRPr="003C2989">
        <w:t>соц</w:t>
      </w:r>
      <w:proofErr w:type="gramEnd"/>
      <w:r w:rsidRPr="003C2989">
        <w:t xml:space="preserve">іальний спільний знаменник: Ліван, Швеція, Бразилія, Перу, Венесуела, Філіппіни, Домініканська Республіка, Іран, Єгипет, Бельгія і Уругвай. </w:t>
      </w:r>
    </w:p>
    <w:p w:rsidR="003C2989" w:rsidRPr="003C2989" w:rsidRDefault="003C2989" w:rsidP="003C2989">
      <w:pPr>
        <w:spacing w:after="0"/>
      </w:pPr>
      <w:r w:rsidRPr="003C2989">
        <w:lastRenderedPageBreak/>
        <w:t>Виключення політичних груп обстоювалося неурядовими організаціями, Всесвітнім єврейським конгресом, що відповідало баченню природи злочину геноциду Рафаелем Лемкіним».</w:t>
      </w:r>
    </w:p>
    <w:p w:rsidR="003C2989" w:rsidRPr="003C2989" w:rsidRDefault="003C2989" w:rsidP="003C2989">
      <w:pPr>
        <w:spacing w:after="0"/>
      </w:pPr>
      <w:r w:rsidRPr="003C2989">
        <w:t>Мета та сфера застосування Конвенції була пізніше описана Радою Безпеки Організац</w:t>
      </w:r>
      <w:proofErr w:type="gramStart"/>
      <w:r w:rsidRPr="003C2989">
        <w:t>ії О</w:t>
      </w:r>
      <w:proofErr w:type="gramEnd"/>
      <w:r w:rsidRPr="003C2989">
        <w:t>б'єднаних Націй таким чином:</w:t>
      </w:r>
    </w:p>
    <w:p w:rsidR="003C2989" w:rsidRPr="003C2989" w:rsidRDefault="003C2989" w:rsidP="003C2989">
      <w:pPr>
        <w:spacing w:after="0"/>
      </w:pPr>
      <w:r w:rsidRPr="003C2989">
        <w:t xml:space="preserve">Конвенція була прийнята для гуманітарних і цивілізаційних цілей. Вони  полягають у забезпеченні існування певних людських груп і </w:t>
      </w:r>
      <w:proofErr w:type="gramStart"/>
      <w:r w:rsidRPr="003C2989">
        <w:t>п</w:t>
      </w:r>
      <w:proofErr w:type="gramEnd"/>
      <w:r w:rsidRPr="003C2989">
        <w:t>ідтвердженні елементарних принципів гуманності та моралі. Відповідно до неї, правові зобов'язання утримуватися від геноциду визнані як “</w:t>
      </w:r>
      <w:r w:rsidRPr="003C2989">
        <w:rPr>
          <w:lang w:val="en-US"/>
        </w:rPr>
        <w:t>ergaomnes</w:t>
      </w:r>
      <w:r w:rsidRPr="003C2989">
        <w:t>” – «відносно усіх».</w:t>
      </w:r>
    </w:p>
    <w:p w:rsidR="003C2989" w:rsidRPr="003C2989" w:rsidRDefault="003C2989" w:rsidP="003C2989">
      <w:pPr>
        <w:spacing w:after="0"/>
      </w:pPr>
      <w:r w:rsidRPr="003C2989">
        <w:t xml:space="preserve">Коли була складена Конвенція, передбачалося, що вона буде поширюватися не тільки на існуючі тоді форми геноциду, </w:t>
      </w:r>
      <w:proofErr w:type="gramStart"/>
      <w:r w:rsidRPr="003C2989">
        <w:t>а й</w:t>
      </w:r>
      <w:proofErr w:type="gramEnd"/>
      <w:r w:rsidRPr="003C2989">
        <w:t xml:space="preserve"> на “будь-які способи, які можуть бути розвинені в майбутньому, з метою знищення фізичного існування групи людей". Як </w:t>
      </w:r>
      <w:proofErr w:type="gramStart"/>
      <w:r w:rsidRPr="003C2989">
        <w:t>п</w:t>
      </w:r>
      <w:proofErr w:type="gramEnd"/>
      <w:r w:rsidRPr="003C2989">
        <w:t>ідкреслюється в преамбулі Конвенції, геноцид знайшов своє місце у всіх періодах історії і має еволюціонуючий характер.</w:t>
      </w:r>
    </w:p>
    <w:p w:rsidR="003C2989" w:rsidRPr="003C2989" w:rsidRDefault="003C2989" w:rsidP="003C2989">
      <w:pPr>
        <w:spacing w:after="0"/>
      </w:pPr>
      <w:r w:rsidRPr="003C2989">
        <w:t>Конвенція повинна тлумачитись добросовісно</w:t>
      </w:r>
      <w:proofErr w:type="gramStart"/>
      <w:r w:rsidRPr="003C2989">
        <w:t>,в</w:t>
      </w:r>
      <w:proofErr w:type="gramEnd"/>
      <w:r w:rsidRPr="003C2989">
        <w:t xml:space="preserve">ідповідно до загальноприйнятого значення її положень, в необхідному контексті, у світлі об’єкта і цілей. </w:t>
      </w:r>
      <w:proofErr w:type="gramStart"/>
      <w:r w:rsidRPr="003C2989">
        <w:t>Кр</w:t>
      </w:r>
      <w:proofErr w:type="gramEnd"/>
      <w:r w:rsidRPr="003C2989">
        <w:t xml:space="preserve">ім того, текст Конвенції слід тлумачити таким чином, щоб мало сенс і значення кожне слово. Жодне словоне може бути знехтуване або розглянуте як зайве, якщо </w:t>
      </w:r>
      <w:proofErr w:type="gramStart"/>
      <w:r w:rsidRPr="003C2989">
        <w:t>це не</w:t>
      </w:r>
      <w:proofErr w:type="gramEnd"/>
      <w:r w:rsidRPr="003C2989">
        <w:t xml:space="preserve"> є абсолютно необхідним для цілісного прочитання всіх положень загалом.</w:t>
      </w:r>
    </w:p>
    <w:p w:rsidR="003C2989" w:rsidRPr="003C2989" w:rsidRDefault="003C2989" w:rsidP="003C2989">
      <w:pPr>
        <w:spacing w:after="0"/>
      </w:pPr>
      <w:r w:rsidRPr="003C2989">
        <w:t xml:space="preserve">Геноцид є злочином відповідно до міжнародного права, незалежно від "чи відбувається він </w:t>
      </w:r>
      <w:proofErr w:type="gramStart"/>
      <w:r w:rsidRPr="003C2989">
        <w:t>у</w:t>
      </w:r>
      <w:proofErr w:type="gramEnd"/>
      <w:r w:rsidRPr="003C2989">
        <w:t xml:space="preserve"> мирний або у воєнний час" (ст. </w:t>
      </w:r>
      <w:r w:rsidRPr="003C2989">
        <w:rPr>
          <w:lang w:val="en-US"/>
        </w:rPr>
        <w:t>I</w:t>
      </w:r>
      <w:r w:rsidRPr="003C2989">
        <w:t>). Таким чином, незалежно від контексту, в якому геноцид відбувається, він є караним міжнародним злочином.</w:t>
      </w:r>
    </w:p>
    <w:p w:rsidR="003C2989" w:rsidRPr="003C2989" w:rsidRDefault="003C2989" w:rsidP="003C2989">
      <w:pPr>
        <w:spacing w:after="0"/>
      </w:pPr>
      <w:r w:rsidRPr="003C2989">
        <w:t>Конкретні положення</w:t>
      </w:r>
    </w:p>
    <w:p w:rsidR="003C2989" w:rsidRPr="003C2989" w:rsidRDefault="003C2989" w:rsidP="003C2989">
      <w:pPr>
        <w:spacing w:after="0"/>
      </w:pPr>
      <w:r w:rsidRPr="003C2989">
        <w:t>«Намі</w:t>
      </w:r>
      <w:proofErr w:type="gramStart"/>
      <w:r w:rsidRPr="003C2989">
        <w:t>р</w:t>
      </w:r>
      <w:proofErr w:type="gramEnd"/>
      <w:r w:rsidRPr="003C2989">
        <w:t xml:space="preserve"> знищення»</w:t>
      </w:r>
    </w:p>
    <w:p w:rsidR="003C2989" w:rsidRPr="003C2989" w:rsidRDefault="003C2989" w:rsidP="003C2989">
      <w:pPr>
        <w:spacing w:after="0"/>
      </w:pPr>
      <w:r w:rsidRPr="003C2989">
        <w:t xml:space="preserve">У 2007 Європейський суд з прав людини (ЄСПЛ), виступив у своєму </w:t>
      </w:r>
      <w:proofErr w:type="gramStart"/>
      <w:r w:rsidRPr="003C2989">
        <w:t>р</w:t>
      </w:r>
      <w:proofErr w:type="gramEnd"/>
      <w:r w:rsidRPr="003C2989">
        <w:t xml:space="preserve">ішенні проти Джоргіча. Німеччина: "На час, коли заявник скоїв діяння у 1992 році, більшість </w:t>
      </w:r>
      <w:proofErr w:type="gramStart"/>
      <w:r w:rsidRPr="003C2989">
        <w:t>досл</w:t>
      </w:r>
      <w:proofErr w:type="gramEnd"/>
      <w:r w:rsidRPr="003C2989">
        <w:t>ідників дотримувались думки, що «намір геноциду знищити групу», відповідно до статті 220</w:t>
      </w:r>
      <w:r w:rsidRPr="003C2989">
        <w:rPr>
          <w:lang w:val="en-US"/>
        </w:rPr>
        <w:t>a</w:t>
      </w:r>
      <w:r w:rsidRPr="003C2989">
        <w:t xml:space="preserve"> Кримінального кодексу, має бути спрямований на біологічно-фізичне знищення захищеної групи. Проте, значна кількість </w:t>
      </w:r>
      <w:proofErr w:type="gramStart"/>
      <w:r w:rsidRPr="003C2989">
        <w:t>досл</w:t>
      </w:r>
      <w:proofErr w:type="gramEnd"/>
      <w:r w:rsidRPr="003C2989">
        <w:t>ідників дотримувалась думки, що поняття знищення групи у буквальному значенні є ширшим, ніж біологічно-фізичне знищення, і включає також знищення групи як соціальної спільноти.</w:t>
      </w:r>
    </w:p>
    <w:p w:rsidR="003C2989" w:rsidRPr="003C2989" w:rsidRDefault="003C2989" w:rsidP="003C2989">
      <w:pPr>
        <w:spacing w:after="0"/>
      </w:pPr>
      <w:r w:rsidRPr="003C2989">
        <w:t xml:space="preserve">У тій же постанові ЄСПЛ розглянув низку міжнародних і внутрішньодержавних судових </w:t>
      </w:r>
      <w:proofErr w:type="gramStart"/>
      <w:r w:rsidRPr="003C2989">
        <w:t>р</w:t>
      </w:r>
      <w:proofErr w:type="gramEnd"/>
      <w:r w:rsidRPr="003C2989">
        <w:t xml:space="preserve">ішень. Він зазначив, що Міжнародний кримінальний трибунал, що діяв </w:t>
      </w:r>
      <w:proofErr w:type="gramStart"/>
      <w:r w:rsidRPr="003C2989">
        <w:t>у</w:t>
      </w:r>
      <w:proofErr w:type="gramEnd"/>
      <w:r w:rsidRPr="003C2989">
        <w:t xml:space="preserve"> Югославії, та Міжнародний Суд погодився з вузькою інтерпретацією, що біолого-фізичне знищення було необхідне, щоб кваліфікувати дії як геноцид. ЄСПЛ також зазначив, що на момент винесення його </w:t>
      </w:r>
      <w:proofErr w:type="gramStart"/>
      <w:r w:rsidRPr="003C2989">
        <w:t>р</w:t>
      </w:r>
      <w:proofErr w:type="gramEnd"/>
      <w:r w:rsidRPr="003C2989">
        <w:t>ішення, окрім судів Німеччини, яка сприйняла широкий підхід до розуміння геноциду, були лише поодинокі випадки кримінального переслідування за геноцид на національному рівні у інших Державах-учасницях Конвенції, а також, що «Немає повідомлень про справи, у яких національні суди встановили б умисне знищення групи і, відповідно, вину у геноциді, тобто, коли б „намі</w:t>
      </w:r>
      <w:proofErr w:type="gramStart"/>
      <w:r w:rsidRPr="003C2989">
        <w:t>р</w:t>
      </w:r>
      <w:proofErr w:type="gramEnd"/>
      <w:r w:rsidRPr="003C2989">
        <w:t xml:space="preserve"> знищити“ стосувався лише фізичного або біологічного знищення, або коли б він передбачав також знищення групи як соціальної спільноти».</w:t>
      </w:r>
    </w:p>
    <w:p w:rsidR="003C2989" w:rsidRPr="003C2989" w:rsidRDefault="003C2989" w:rsidP="003C2989">
      <w:pPr>
        <w:spacing w:after="0"/>
      </w:pPr>
      <w:r w:rsidRPr="003C2989">
        <w:t>«Частково»</w:t>
      </w:r>
    </w:p>
    <w:p w:rsidR="003C2989" w:rsidRPr="003C2989" w:rsidRDefault="003C2989" w:rsidP="003C2989">
      <w:pPr>
        <w:spacing w:after="0"/>
      </w:pPr>
      <w:r w:rsidRPr="003C2989">
        <w:t xml:space="preserve">Фраза «в цілому або частково» стала предметом численних дискусій </w:t>
      </w:r>
      <w:proofErr w:type="gramStart"/>
      <w:r w:rsidRPr="003C2989">
        <w:t>між</w:t>
      </w:r>
      <w:proofErr w:type="gramEnd"/>
      <w:r w:rsidRPr="003C2989">
        <w:t xml:space="preserve"> вченими міжнародного гуманітарного права. Міжнародний кримінальний трибунал Югославії виявив у «</w:t>
      </w:r>
      <w:r w:rsidRPr="003C2989">
        <w:rPr>
          <w:lang w:val="en-US"/>
        </w:rPr>
        <w:t>Prosecutor</w:t>
      </w:r>
      <w:r w:rsidRPr="003C2989">
        <w:t xml:space="preserve"> </w:t>
      </w:r>
      <w:r w:rsidRPr="003C2989">
        <w:rPr>
          <w:lang w:val="en-US"/>
        </w:rPr>
        <w:t>v</w:t>
      </w:r>
      <w:r w:rsidRPr="003C2989">
        <w:t xml:space="preserve">. </w:t>
      </w:r>
      <w:r w:rsidRPr="003C2989">
        <w:rPr>
          <w:lang w:val="en-US"/>
        </w:rPr>
        <w:t>RadislavKrstic</w:t>
      </w:r>
      <w:r w:rsidRPr="003C2989">
        <w:t xml:space="preserve"> — </w:t>
      </w:r>
      <w:r w:rsidRPr="003C2989">
        <w:rPr>
          <w:lang w:val="en-US"/>
        </w:rPr>
        <w:t>TrialChamber</w:t>
      </w:r>
      <w:r w:rsidRPr="003C2989">
        <w:t xml:space="preserve"> </w:t>
      </w:r>
      <w:r w:rsidRPr="003C2989">
        <w:rPr>
          <w:lang w:val="en-US"/>
        </w:rPr>
        <w:t>I</w:t>
      </w:r>
      <w:r w:rsidRPr="003C2989">
        <w:t xml:space="preserve"> — </w:t>
      </w:r>
      <w:r w:rsidRPr="003C2989">
        <w:rPr>
          <w:lang w:val="en-US"/>
        </w:rPr>
        <w:t>Judgment</w:t>
      </w:r>
      <w:r w:rsidRPr="003C2989">
        <w:t xml:space="preserve"> — </w:t>
      </w:r>
      <w:r w:rsidRPr="003C2989">
        <w:rPr>
          <w:lang w:val="en-US"/>
        </w:rPr>
        <w:t>IT</w:t>
      </w:r>
      <w:r w:rsidRPr="003C2989">
        <w:t xml:space="preserve">-98-33 (2001) </w:t>
      </w:r>
      <w:r w:rsidRPr="003C2989">
        <w:rPr>
          <w:lang w:val="en-US"/>
        </w:rPr>
        <w:t>ICTY</w:t>
      </w:r>
      <w:r w:rsidRPr="003C2989">
        <w:t xml:space="preserve">8 (2 </w:t>
      </w:r>
      <w:r w:rsidRPr="003C2989">
        <w:rPr>
          <w:lang w:val="en-US"/>
        </w:rPr>
        <w:t>August</w:t>
      </w:r>
      <w:r w:rsidRPr="003C2989">
        <w:t xml:space="preserve"> 2001</w:t>
      </w:r>
      <w:proofErr w:type="gramStart"/>
      <w:r w:rsidRPr="003C2989">
        <w:t>)»</w:t>
      </w:r>
      <w:proofErr w:type="gramEnd"/>
      <w:r w:rsidRPr="003C2989">
        <w:t>, що геноцид мав місце. У «</w:t>
      </w:r>
      <w:r w:rsidRPr="003C2989">
        <w:rPr>
          <w:lang w:val="en-US"/>
        </w:rPr>
        <w:t>Prosecutor</w:t>
      </w:r>
      <w:r w:rsidRPr="003C2989">
        <w:t xml:space="preserve"> </w:t>
      </w:r>
      <w:r w:rsidRPr="003C2989">
        <w:rPr>
          <w:lang w:val="en-US"/>
        </w:rPr>
        <w:t>v</w:t>
      </w:r>
      <w:r w:rsidRPr="003C2989">
        <w:t xml:space="preserve">. </w:t>
      </w:r>
      <w:r w:rsidRPr="003C2989">
        <w:rPr>
          <w:lang w:val="en-US"/>
        </w:rPr>
        <w:t>RadislavKrstic</w:t>
      </w:r>
      <w:r w:rsidRPr="003C2989">
        <w:t xml:space="preserve"> — </w:t>
      </w:r>
      <w:r w:rsidRPr="003C2989">
        <w:rPr>
          <w:lang w:val="en-US"/>
        </w:rPr>
        <w:t>AppealsChamber</w:t>
      </w:r>
      <w:r w:rsidRPr="003C2989">
        <w:t xml:space="preserve"> — </w:t>
      </w:r>
      <w:r w:rsidRPr="003C2989">
        <w:rPr>
          <w:lang w:val="en-US"/>
        </w:rPr>
        <w:t>Judgment</w:t>
      </w:r>
      <w:r w:rsidRPr="003C2989">
        <w:t xml:space="preserve"> — </w:t>
      </w:r>
      <w:r w:rsidRPr="003C2989">
        <w:rPr>
          <w:lang w:val="en-US"/>
        </w:rPr>
        <w:t>IT</w:t>
      </w:r>
      <w:r w:rsidRPr="003C2989">
        <w:t xml:space="preserve">-98-33 (2004) </w:t>
      </w:r>
      <w:r w:rsidRPr="003C2989">
        <w:rPr>
          <w:lang w:val="en-US"/>
        </w:rPr>
        <w:t>ICTY</w:t>
      </w:r>
      <w:r w:rsidRPr="003C2989">
        <w:t xml:space="preserve"> 7» (19 квітня 2004) в пунктах 8, 9, 10 і 11 було розглянуто питання про «частковість» і виявлено, що частина повинна бути суттєвою досить суттєвою від всієї групи людей. Мета Конвенції про геноцид — запобігання навмисного знищення цілих людських груп, і частина, що є об'єктом посягання, </w:t>
      </w:r>
      <w:proofErr w:type="gramStart"/>
      <w:r w:rsidRPr="003C2989">
        <w:t>повинна</w:t>
      </w:r>
      <w:proofErr w:type="gramEnd"/>
      <w:r w:rsidRPr="003C2989">
        <w:t xml:space="preserve"> бути досить значна, щоб впливати на групу в цілому". Апеляційна палата </w:t>
      </w:r>
      <w:proofErr w:type="gramStart"/>
      <w:r w:rsidRPr="003C2989">
        <w:t>вникає в</w:t>
      </w:r>
      <w:proofErr w:type="gramEnd"/>
      <w:r w:rsidRPr="003C2989">
        <w:t xml:space="preserve"> подробиці про інші випадки і думки поважних коментаторів Конвенції, щоб пояснити, як вони прийшли до цього висновку.</w:t>
      </w:r>
    </w:p>
    <w:p w:rsidR="003C2989" w:rsidRPr="003C2989" w:rsidRDefault="003C2989" w:rsidP="003C2989">
      <w:pPr>
        <w:spacing w:after="0"/>
      </w:pPr>
      <w:r w:rsidRPr="003C2989">
        <w:t xml:space="preserve">Судді продовжують </w:t>
      </w:r>
      <w:proofErr w:type="gramStart"/>
      <w:r w:rsidRPr="003C2989">
        <w:t>у</w:t>
      </w:r>
      <w:proofErr w:type="gramEnd"/>
      <w:r w:rsidRPr="003C2989">
        <w:t xml:space="preserve"> </w:t>
      </w:r>
      <w:proofErr w:type="gramStart"/>
      <w:r w:rsidRPr="003C2989">
        <w:t>пункт</w:t>
      </w:r>
      <w:proofErr w:type="gramEnd"/>
      <w:r w:rsidRPr="003C2989">
        <w:t xml:space="preserve">і 12, «Визначення того, чи є цільова частина групи настільки істотною, щоб відповідати зазначеним вимогам, залежить від кількох умов. Чисельність цільової частини групи є необхідною і важливою відправною, хоча і не в усіх випадках кінцевою точкою розслідування. Кількість жертв повинна бути оцінена не тільки в абсолютному вираженні, </w:t>
      </w:r>
      <w:proofErr w:type="gramStart"/>
      <w:r w:rsidRPr="003C2989">
        <w:t>але й</w:t>
      </w:r>
      <w:proofErr w:type="gramEnd"/>
      <w:r w:rsidRPr="003C2989">
        <w:t xml:space="preserve"> у відношенні до загального розміру всієї групи. На </w:t>
      </w:r>
      <w:r w:rsidRPr="003C2989">
        <w:lastRenderedPageBreak/>
        <w:t>додаток до чисельності постраждалої частини слід звернути увагу назначущість представників цієї частини. Якщо ця частина групи є символічна для загальної групи, або має важливе значення для її виживання, то ця частина кваліфікується як „істотна“ у розумінні статті 4 [Статуту Трибуналу]</w:t>
      </w:r>
      <w:proofErr w:type="gramStart"/>
      <w:r w:rsidRPr="003C2989">
        <w:t>.»</w:t>
      </w:r>
      <w:proofErr w:type="gramEnd"/>
    </w:p>
    <w:p w:rsidR="003C2989" w:rsidRDefault="003C2989" w:rsidP="003C2989">
      <w:pPr>
        <w:spacing w:after="0"/>
        <w:rPr>
          <w:lang w:val="en-US"/>
        </w:rPr>
      </w:pPr>
      <w:r w:rsidRPr="003C2989">
        <w:t xml:space="preserve">У пункті 13 судді </w:t>
      </w:r>
      <w:proofErr w:type="gramStart"/>
      <w:r w:rsidRPr="003C2989">
        <w:t>п</w:t>
      </w:r>
      <w:proofErr w:type="gramEnd"/>
      <w:r w:rsidRPr="003C2989">
        <w:t xml:space="preserve">ідняли питання про доступ злочинців до жертв: Історичні приклади геноциду також передбачають, що слід взяти до уваги сферу діяльності та можливості контролю, що належать злочинцям… Намір знищити, що формується у них, завжди буде обмеженим наявною у них можливістю. Хоча сам по собі цей фактор не </w:t>
      </w:r>
      <w:proofErr w:type="gramStart"/>
      <w:r w:rsidRPr="003C2989">
        <w:t>св</w:t>
      </w:r>
      <w:proofErr w:type="gramEnd"/>
      <w:r w:rsidRPr="003C2989">
        <w:t>ідчить, чи є істотною група жертв, у поєднанні з іншими факторами він може допомогти аналізу</w:t>
      </w:r>
    </w:p>
    <w:p w:rsidR="003C2989" w:rsidRPr="003C2989" w:rsidRDefault="003C2989" w:rsidP="003C2989">
      <w:pPr>
        <w:spacing w:after="0"/>
        <w:rPr>
          <w:lang w:val="en-US"/>
        </w:rPr>
      </w:pPr>
      <w:r w:rsidRPr="003C2989">
        <w:t>Набуття</w:t>
      </w:r>
      <w:r w:rsidRPr="003C2989">
        <w:rPr>
          <w:lang w:val="en-US"/>
        </w:rPr>
        <w:t xml:space="preserve"> </w:t>
      </w:r>
      <w:r w:rsidRPr="003C2989">
        <w:t>чинності</w:t>
      </w:r>
      <w:r w:rsidRPr="003C2989">
        <w:rPr>
          <w:lang w:val="en-US"/>
        </w:rPr>
        <w:t xml:space="preserve"> </w:t>
      </w:r>
      <w:r w:rsidRPr="003C2989">
        <w:t>Конвенції</w:t>
      </w:r>
      <w:r w:rsidRPr="003C2989">
        <w:rPr>
          <w:lang w:val="en-US"/>
        </w:rPr>
        <w:t xml:space="preserve"> </w:t>
      </w:r>
      <w:r w:rsidRPr="003C2989">
        <w:t>про</w:t>
      </w:r>
      <w:r w:rsidRPr="003C2989">
        <w:rPr>
          <w:lang w:val="en-US"/>
        </w:rPr>
        <w:t xml:space="preserve"> </w:t>
      </w:r>
      <w:r w:rsidRPr="003C2989">
        <w:t>геноцид</w:t>
      </w:r>
    </w:p>
    <w:p w:rsidR="003C2989" w:rsidRPr="003C2989" w:rsidRDefault="003C2989" w:rsidP="003C2989">
      <w:pPr>
        <w:spacing w:after="0"/>
      </w:pPr>
      <w:r w:rsidRPr="003C2989">
        <w:t>Конвенція</w:t>
      </w:r>
      <w:r w:rsidRPr="003C2989">
        <w:rPr>
          <w:lang w:val="en-US"/>
        </w:rPr>
        <w:t xml:space="preserve"> </w:t>
      </w:r>
      <w:r w:rsidRPr="003C2989">
        <w:t>набула</w:t>
      </w:r>
      <w:r w:rsidRPr="003C2989">
        <w:rPr>
          <w:lang w:val="en-US"/>
        </w:rPr>
        <w:t xml:space="preserve"> </w:t>
      </w:r>
      <w:r w:rsidRPr="003C2989">
        <w:t>чинності</w:t>
      </w:r>
      <w:r w:rsidRPr="003C2989">
        <w:rPr>
          <w:lang w:val="en-US"/>
        </w:rPr>
        <w:t xml:space="preserve"> </w:t>
      </w:r>
      <w:r w:rsidRPr="003C2989">
        <w:t>на</w:t>
      </w:r>
      <w:r w:rsidRPr="003C2989">
        <w:rPr>
          <w:lang w:val="en-US"/>
        </w:rPr>
        <w:t xml:space="preserve"> </w:t>
      </w:r>
      <w:r w:rsidRPr="003C2989">
        <w:t>міжнародному</w:t>
      </w:r>
      <w:r w:rsidRPr="003C2989">
        <w:rPr>
          <w:lang w:val="en-US"/>
        </w:rPr>
        <w:t xml:space="preserve"> </w:t>
      </w:r>
      <w:proofErr w:type="gramStart"/>
      <w:r w:rsidRPr="003C2989">
        <w:t>р</w:t>
      </w:r>
      <w:proofErr w:type="gramEnd"/>
      <w:r w:rsidRPr="003C2989">
        <w:t>івні</w:t>
      </w:r>
      <w:r w:rsidRPr="003C2989">
        <w:rPr>
          <w:lang w:val="en-US"/>
        </w:rPr>
        <w:t xml:space="preserve"> 12 </w:t>
      </w:r>
      <w:r w:rsidRPr="003C2989">
        <w:t>січня</w:t>
      </w:r>
      <w:r w:rsidRPr="003C2989">
        <w:rPr>
          <w:lang w:val="en-US"/>
        </w:rPr>
        <w:t xml:space="preserve"> 1951 </w:t>
      </w:r>
      <w:r w:rsidRPr="003C2989">
        <w:t>після</w:t>
      </w:r>
      <w:r w:rsidRPr="003C2989">
        <w:rPr>
          <w:lang w:val="en-US"/>
        </w:rPr>
        <w:t xml:space="preserve"> </w:t>
      </w:r>
      <w:r w:rsidRPr="003C2989">
        <w:t>того</w:t>
      </w:r>
      <w:r w:rsidRPr="003C2989">
        <w:rPr>
          <w:lang w:val="en-US"/>
        </w:rPr>
        <w:t xml:space="preserve">, </w:t>
      </w:r>
      <w:r w:rsidRPr="003C2989">
        <w:t>як</w:t>
      </w:r>
      <w:r w:rsidRPr="003C2989">
        <w:rPr>
          <w:lang w:val="en-US"/>
        </w:rPr>
        <w:t xml:space="preserve"> </w:t>
      </w:r>
      <w:r w:rsidRPr="003C2989">
        <w:t>мінімум</w:t>
      </w:r>
      <w:r w:rsidRPr="003C2989">
        <w:rPr>
          <w:lang w:val="en-US"/>
        </w:rPr>
        <w:t xml:space="preserve"> 20 </w:t>
      </w:r>
      <w:r w:rsidRPr="003C2989">
        <w:t>країн</w:t>
      </w:r>
      <w:r w:rsidRPr="003C2989">
        <w:rPr>
          <w:lang w:val="en-US"/>
        </w:rPr>
        <w:t xml:space="preserve"> </w:t>
      </w:r>
      <w:r w:rsidRPr="003C2989">
        <w:t>стали</w:t>
      </w:r>
      <w:r w:rsidRPr="003C2989">
        <w:rPr>
          <w:lang w:val="en-US"/>
        </w:rPr>
        <w:t xml:space="preserve"> </w:t>
      </w:r>
      <w:r w:rsidRPr="003C2989">
        <w:t>її</w:t>
      </w:r>
      <w:r w:rsidRPr="003C2989">
        <w:rPr>
          <w:lang w:val="en-US"/>
        </w:rPr>
        <w:t xml:space="preserve"> </w:t>
      </w:r>
      <w:r w:rsidRPr="003C2989">
        <w:t>учасницями</w:t>
      </w:r>
      <w:r w:rsidRPr="003C2989">
        <w:rPr>
          <w:lang w:val="en-US"/>
        </w:rPr>
        <w:t xml:space="preserve">. </w:t>
      </w:r>
      <w:r w:rsidRPr="003C2989">
        <w:t>У той час, однак, тільки два з п'яти постійних членів</w:t>
      </w:r>
      <w:proofErr w:type="gramStart"/>
      <w:r w:rsidRPr="003C2989">
        <w:t xml:space="preserve"> Р</w:t>
      </w:r>
      <w:proofErr w:type="gramEnd"/>
      <w:r w:rsidRPr="003C2989">
        <w:t xml:space="preserve">ади Безпеки ООН стали учасниками договору: Франція і Китайська Республіка. Радянський Союз ратифікував у 1954 році, Великобританія в 1970 році і Сполучені Штати в 1988 році, Китайська Народна Республіка у 1983 р. Ця тривала затримка у </w:t>
      </w:r>
      <w:proofErr w:type="gramStart"/>
      <w:r w:rsidRPr="003C2989">
        <w:t>п</w:t>
      </w:r>
      <w:proofErr w:type="gramEnd"/>
      <w:r w:rsidRPr="003C2989">
        <w:t xml:space="preserve">ідтримці Конвенції з боку найбільш могутніх країн світу робила Конвенцію слабкою протягом більше чотирьох десятиліть. Тільки в 1990-і роки </w:t>
      </w:r>
      <w:proofErr w:type="gramStart"/>
      <w:r w:rsidRPr="003C2989">
        <w:t>м</w:t>
      </w:r>
      <w:proofErr w:type="gramEnd"/>
      <w:r w:rsidRPr="003C2989">
        <w:t>іжнародне право про злочин геноциду набуло повноцінної сили.</w:t>
      </w:r>
    </w:p>
    <w:p w:rsidR="003C2989" w:rsidRPr="003C2989" w:rsidRDefault="003C2989" w:rsidP="003C2989">
      <w:pPr>
        <w:spacing w:after="0"/>
      </w:pPr>
      <w:r w:rsidRPr="003C2989">
        <w:t>Рада Безпеки ООН про геноцид</w:t>
      </w:r>
    </w:p>
    <w:p w:rsidR="003C2989" w:rsidRPr="003C2989" w:rsidRDefault="003C2989" w:rsidP="003C2989">
      <w:pPr>
        <w:spacing w:after="0"/>
      </w:pPr>
      <w:r w:rsidRPr="003C2989">
        <w:t xml:space="preserve">Резолюція № 1674, прийнята Радою Безпеки Організації Об'єднаних Націй від 28 квітня 2006 року, «підтверджує положення пунктів 138 і 139 підсумкового документа Всесвітнього саміту 2005 року, що стосуються відповідальності щодо захисту народів </w:t>
      </w:r>
      <w:proofErr w:type="gramStart"/>
      <w:r w:rsidRPr="003C2989">
        <w:t>в</w:t>
      </w:r>
      <w:proofErr w:type="gramEnd"/>
      <w:r w:rsidRPr="003C2989">
        <w:t xml:space="preserve">ід геноциду, військових злочинів, етнічних чисток і злочинів проти людяності». </w:t>
      </w:r>
      <w:proofErr w:type="gramStart"/>
      <w:r w:rsidRPr="003C2989">
        <w:t>П</w:t>
      </w:r>
      <w:proofErr w:type="gramEnd"/>
      <w:r w:rsidRPr="003C2989">
        <w:t>ісля резолюції Рада почала діяти в напрямку захисту цивільних осіб під час збройному конфлікті.</w:t>
      </w:r>
    </w:p>
    <w:p w:rsidR="003C2989" w:rsidRPr="003C2989" w:rsidRDefault="003C2989" w:rsidP="003C2989">
      <w:pPr>
        <w:spacing w:after="0"/>
      </w:pPr>
      <w:r w:rsidRPr="003C2989">
        <w:t>Національне право</w:t>
      </w:r>
    </w:p>
    <w:p w:rsidR="003C2989" w:rsidRPr="003C2989" w:rsidRDefault="003C2989" w:rsidP="003C2989">
      <w:pPr>
        <w:spacing w:after="0"/>
      </w:pPr>
      <w:r w:rsidRPr="003C2989">
        <w:t>Відтоді як Конвенція набула чинності в січні 1951 р. близько 80 держав-членів Організац</w:t>
      </w:r>
      <w:proofErr w:type="gramStart"/>
      <w:r w:rsidRPr="003C2989">
        <w:t>ії О</w:t>
      </w:r>
      <w:proofErr w:type="gramEnd"/>
      <w:r w:rsidRPr="003C2989">
        <w:t xml:space="preserve">б'єднаних Націй прийняли законодавство, що інкорпорує положення </w:t>
      </w:r>
      <w:r w:rsidRPr="003C2989">
        <w:rPr>
          <w:lang w:val="en-US"/>
        </w:rPr>
        <w:t>CPPCG</w:t>
      </w:r>
      <w:r w:rsidRPr="003C2989">
        <w:t xml:space="preserve"> в їх національне право.</w:t>
      </w:r>
    </w:p>
    <w:p w:rsidR="003C2989" w:rsidRDefault="003C2989" w:rsidP="003C2989">
      <w:pPr>
        <w:spacing w:after="0"/>
        <w:rPr>
          <w:b/>
          <w:bCs/>
          <w:lang w:val="en-US"/>
        </w:rPr>
      </w:pPr>
      <w:r w:rsidRPr="003C2989">
        <w:rPr>
          <w:b/>
          <w:bCs/>
        </w:rPr>
        <w:t>Література</w:t>
      </w:r>
    </w:p>
    <w:p w:rsidR="003C2989" w:rsidRPr="003C2989" w:rsidRDefault="003C2989" w:rsidP="003C2989">
      <w:pPr>
        <w:spacing w:after="0"/>
        <w:rPr>
          <w:lang w:val="en-US"/>
        </w:rPr>
      </w:pPr>
      <w:r w:rsidRPr="003C2989">
        <w:rPr>
          <w:lang w:val="en-US"/>
        </w:rPr>
        <w:t xml:space="preserve">Exterminate all the </w:t>
      </w:r>
      <w:proofErr w:type="gramStart"/>
      <w:r w:rsidRPr="003C2989">
        <w:rPr>
          <w:lang w:val="en-US"/>
        </w:rPr>
        <w:t>Brutes ,</w:t>
      </w:r>
      <w:proofErr w:type="gramEnd"/>
      <w:r w:rsidRPr="003C2989">
        <w:rPr>
          <w:lang w:val="en-US"/>
        </w:rPr>
        <w:t xml:space="preserve"> Sven Lindqvist, London, 1996.</w:t>
      </w:r>
    </w:p>
    <w:p w:rsidR="003C2989" w:rsidRPr="003C2989" w:rsidRDefault="003C2989" w:rsidP="003C2989">
      <w:pPr>
        <w:spacing w:after="0"/>
      </w:pPr>
      <w:r w:rsidRPr="003C2989">
        <w:t xml:space="preserve">Голодомор 1932-1933 років </w:t>
      </w:r>
      <w:proofErr w:type="gramStart"/>
      <w:r w:rsidRPr="003C2989">
        <w:t>в</w:t>
      </w:r>
      <w:proofErr w:type="gramEnd"/>
      <w:r w:rsidRPr="003C2989">
        <w:t xml:space="preserve"> Україні: документи і матеріали / Упоряд. Р. Я. Пиріг; НАН України</w:t>
      </w:r>
      <w:proofErr w:type="gramStart"/>
      <w:r w:rsidRPr="003C2989">
        <w:t>.</w:t>
      </w:r>
      <w:proofErr w:type="gramEnd"/>
      <w:r w:rsidRPr="003C2989">
        <w:t xml:space="preserve"> І</w:t>
      </w:r>
      <w:proofErr w:type="gramStart"/>
      <w:r w:rsidRPr="003C2989">
        <w:t>н</w:t>
      </w:r>
      <w:proofErr w:type="gramEnd"/>
      <w:r w:rsidRPr="003C2989">
        <w:t>-т історії України. — К.: Вид</w:t>
      </w:r>
      <w:proofErr w:type="gramStart"/>
      <w:r w:rsidRPr="003C2989">
        <w:t>.</w:t>
      </w:r>
      <w:proofErr w:type="gramEnd"/>
      <w:r w:rsidRPr="003C2989">
        <w:t xml:space="preserve"> </w:t>
      </w:r>
      <w:proofErr w:type="gramStart"/>
      <w:r w:rsidRPr="003C2989">
        <w:t>д</w:t>
      </w:r>
      <w:proofErr w:type="gramEnd"/>
      <w:r w:rsidRPr="003C2989">
        <w:t>ім «Києво-Могилянська академія», 2007. — 1128 с.</w:t>
      </w:r>
    </w:p>
    <w:p w:rsidR="003C2989" w:rsidRPr="003C2989" w:rsidRDefault="003C2989" w:rsidP="003C2989">
      <w:pPr>
        <w:spacing w:after="0"/>
      </w:pPr>
      <w:r w:rsidRPr="003C2989">
        <w:t xml:space="preserve">Голодомор (1932—1933) — невідома українська трагедія; 2013. — 280с. — </w:t>
      </w:r>
      <w:r w:rsidRPr="003C2989">
        <w:rPr>
          <w:lang w:val="en-US"/>
        </w:rPr>
        <w:t>ISBN</w:t>
      </w:r>
      <w:r w:rsidRPr="003C2989">
        <w:t xml:space="preserve"> 978-989-8377-39-5</w:t>
      </w:r>
    </w:p>
    <w:p w:rsidR="003C2989" w:rsidRPr="003C2989" w:rsidRDefault="003C2989" w:rsidP="003C2989">
      <w:pPr>
        <w:spacing w:after="0"/>
        <w:rPr>
          <w:lang w:val="en-US"/>
        </w:rPr>
      </w:pPr>
      <w:r w:rsidRPr="003C2989">
        <w:rPr>
          <w:lang w:val="en-US"/>
        </w:rPr>
        <w:t>Saul Friedländer, Nazi Germany and the Jews, v.1: The Years of Persecution 1933–1939, New York: HarperCollins, 1997.</w:t>
      </w:r>
    </w:p>
    <w:p w:rsidR="003C2989" w:rsidRPr="003C2989" w:rsidRDefault="003C2989" w:rsidP="003C2989">
      <w:pPr>
        <w:spacing w:after="0"/>
        <w:rPr>
          <w:lang w:val="en-US"/>
        </w:rPr>
      </w:pPr>
      <w:r w:rsidRPr="003C2989">
        <w:rPr>
          <w:lang w:val="en-US"/>
        </w:rPr>
        <w:t>Saul Friedländer, Nazi Germany and the Jews, v.2: The Years of Extermination, 1939–1945, HarperCollins, 2007</w:t>
      </w:r>
    </w:p>
    <w:p w:rsidR="003C2989" w:rsidRPr="003C2989" w:rsidRDefault="003C2989" w:rsidP="003C2989">
      <w:pPr>
        <w:spacing w:after="0"/>
      </w:pPr>
      <w:r w:rsidRPr="003C2989">
        <w:t>Кенрик Д., Паксон Г. Цыгане под свастикой. — М., «Текст», журнал «Дружба народов», 2001.</w:t>
      </w:r>
    </w:p>
    <w:p w:rsidR="003C2989" w:rsidRPr="003C2989" w:rsidRDefault="003C2989" w:rsidP="003C2989">
      <w:pPr>
        <w:spacing w:after="0"/>
        <w:rPr>
          <w:lang w:val="en-US"/>
        </w:rPr>
      </w:pPr>
      <w:r w:rsidRPr="003C2989">
        <w:rPr>
          <w:lang w:val="en-US"/>
        </w:rPr>
        <w:t xml:space="preserve">David Stannard. American Holocaust: The Conquest of the New World. </w:t>
      </w:r>
      <w:proofErr w:type="gramStart"/>
      <w:r w:rsidRPr="003C2989">
        <w:rPr>
          <w:lang w:val="en-US"/>
        </w:rPr>
        <w:t>Oxford University Press, 1993.</w:t>
      </w:r>
      <w:proofErr w:type="gramEnd"/>
    </w:p>
    <w:p w:rsidR="003C2989" w:rsidRPr="003C2989" w:rsidRDefault="003C2989" w:rsidP="003C2989">
      <w:pPr>
        <w:spacing w:after="0"/>
        <w:rPr>
          <w:lang w:val="en-US"/>
        </w:rPr>
      </w:pPr>
      <w:r w:rsidRPr="003C2989">
        <w:rPr>
          <w:lang w:val="en-US"/>
        </w:rPr>
        <w:t xml:space="preserve">Hans </w:t>
      </w:r>
      <w:proofErr w:type="gramStart"/>
      <w:r w:rsidRPr="003C2989">
        <w:rPr>
          <w:lang w:val="en-US"/>
        </w:rPr>
        <w:t>Koning .</w:t>
      </w:r>
      <w:proofErr w:type="gramEnd"/>
      <w:r w:rsidRPr="003C2989">
        <w:rPr>
          <w:lang w:val="en-US"/>
        </w:rPr>
        <w:t xml:space="preserve"> The Conquest of America: How The Indian Nations Lost Their Continent. Monthly Review Press, New York, 1993.</w:t>
      </w:r>
    </w:p>
    <w:p w:rsidR="003C2989" w:rsidRPr="003C2989" w:rsidRDefault="003C2989" w:rsidP="003C2989">
      <w:pPr>
        <w:spacing w:after="0"/>
        <w:rPr>
          <w:lang w:val="en-US"/>
        </w:rPr>
      </w:pPr>
      <w:r w:rsidRPr="003C2989">
        <w:rPr>
          <w:lang w:val="en-US"/>
        </w:rPr>
        <w:t>Jan R. Carew. Rape of Paradise: Columbus and the Birth of Racism in the Americas. Brooklyn, N.Y</w:t>
      </w:r>
      <w:proofErr w:type="gramStart"/>
      <w:r w:rsidRPr="003C2989">
        <w:rPr>
          <w:lang w:val="en-US"/>
        </w:rPr>
        <w:t>. :</w:t>
      </w:r>
      <w:proofErr w:type="gramEnd"/>
      <w:r w:rsidRPr="003C2989">
        <w:rPr>
          <w:lang w:val="en-US"/>
        </w:rPr>
        <w:t xml:space="preserve"> A&amp;B Books, 1994.</w:t>
      </w:r>
    </w:p>
    <w:p w:rsidR="003C2989" w:rsidRPr="003C2989" w:rsidRDefault="003C2989" w:rsidP="003C2989">
      <w:pPr>
        <w:spacing w:after="0"/>
        <w:rPr>
          <w:lang w:val="en-US"/>
        </w:rPr>
      </w:pPr>
      <w:r w:rsidRPr="003C2989">
        <w:rPr>
          <w:lang w:val="en-US"/>
        </w:rPr>
        <w:t xml:space="preserve">Ward Churchill. </w:t>
      </w:r>
      <w:proofErr w:type="gramStart"/>
      <w:r w:rsidRPr="003C2989">
        <w:rPr>
          <w:lang w:val="en-US"/>
        </w:rPr>
        <w:t>A Little Matter of Genocide.</w:t>
      </w:r>
      <w:proofErr w:type="gramEnd"/>
      <w:r w:rsidRPr="003C2989">
        <w:rPr>
          <w:lang w:val="en-US"/>
        </w:rPr>
        <w:t xml:space="preserve"> </w:t>
      </w:r>
      <w:proofErr w:type="gramStart"/>
      <w:r w:rsidRPr="003C2989">
        <w:rPr>
          <w:lang w:val="en-US"/>
        </w:rPr>
        <w:t>Holocaust and the Denial in the Americas 1492 to the Present.</w:t>
      </w:r>
      <w:proofErr w:type="gramEnd"/>
      <w:r w:rsidRPr="003C2989">
        <w:rPr>
          <w:lang w:val="en-US"/>
        </w:rPr>
        <w:t xml:space="preserve"> San Francisco: City Lights, 1997. </w:t>
      </w:r>
      <w:proofErr w:type="gramStart"/>
      <w:r w:rsidRPr="003C2989">
        <w:rPr>
          <w:lang w:val="en-US"/>
        </w:rPr>
        <w:t>ISBN 0-87286-323-9.</w:t>
      </w:r>
      <w:proofErr w:type="gramEnd"/>
      <w:r w:rsidRPr="003C2989">
        <w:rPr>
          <w:lang w:val="en-US"/>
        </w:rPr>
        <w:t xml:space="preserve"> </w:t>
      </w:r>
      <w:proofErr w:type="gramStart"/>
      <w:r w:rsidRPr="003C2989">
        <w:rPr>
          <w:lang w:val="en-US"/>
        </w:rPr>
        <w:t>ISBN 978-0-87286-323-1.</w:t>
      </w:r>
      <w:proofErr w:type="gramEnd"/>
    </w:p>
    <w:p w:rsidR="003C2989" w:rsidRPr="003C2989" w:rsidRDefault="003C2989" w:rsidP="003C2989">
      <w:pPr>
        <w:spacing w:after="0"/>
        <w:rPr>
          <w:lang w:val="en-US"/>
        </w:rPr>
      </w:pPr>
      <w:r w:rsidRPr="003C2989">
        <w:rPr>
          <w:lang w:val="en-US"/>
        </w:rPr>
        <w:t xml:space="preserve">Ward Churchill. Struggle for the Land: Native North American Resistance to Genocide, Ecocide and Colonization. Publisher: City Lights Books; 2nd Revised edition (5 Nov 2002). </w:t>
      </w:r>
      <w:proofErr w:type="gramStart"/>
      <w:r w:rsidRPr="003C2989">
        <w:rPr>
          <w:lang w:val="en-US"/>
        </w:rPr>
        <w:t>ISBN 0-87286-414-6.</w:t>
      </w:r>
      <w:proofErr w:type="gramEnd"/>
      <w:r w:rsidRPr="003C2989">
        <w:rPr>
          <w:lang w:val="en-US"/>
        </w:rPr>
        <w:t xml:space="preserve"> </w:t>
      </w:r>
      <w:proofErr w:type="gramStart"/>
      <w:r w:rsidRPr="003C2989">
        <w:rPr>
          <w:lang w:val="en-US"/>
        </w:rPr>
        <w:t>ISBN 978-0-87286-414-6.</w:t>
      </w:r>
      <w:proofErr w:type="gramEnd"/>
    </w:p>
    <w:p w:rsidR="003C2989" w:rsidRPr="003C2989" w:rsidRDefault="003C2989" w:rsidP="003C2989">
      <w:pPr>
        <w:rPr>
          <w:lang w:val="en-US"/>
        </w:rPr>
      </w:pPr>
      <w:bookmarkStart w:id="0" w:name="_GoBack"/>
      <w:bookmarkEnd w:id="0"/>
    </w:p>
    <w:sectPr w:rsidR="003C2989" w:rsidRPr="003C2989" w:rsidSect="003C2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E74"/>
    <w:multiLevelType w:val="hybridMultilevel"/>
    <w:tmpl w:val="0248E346"/>
    <w:lvl w:ilvl="0" w:tplc="77A80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68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A2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4C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6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CE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E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8B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0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B6351E"/>
    <w:multiLevelType w:val="hybridMultilevel"/>
    <w:tmpl w:val="EF2E4FB2"/>
    <w:lvl w:ilvl="0" w:tplc="C8A4D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8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8E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47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0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CA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28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2F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60"/>
    <w:rsid w:val="00276290"/>
    <w:rsid w:val="003C2989"/>
    <w:rsid w:val="00437660"/>
    <w:rsid w:val="007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503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250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916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048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146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667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835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15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483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612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2016-04-10T18:24:00Z</dcterms:created>
  <dcterms:modified xsi:type="dcterms:W3CDTF">2016-04-10T18:35:00Z</dcterms:modified>
</cp:coreProperties>
</file>